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r>
        <w:rPr>
          <w:rFonts w:ascii="Calibri" w:hAnsi="Calibri"/>
          <w:b/>
          <w:color w:val="69A99B"/>
          <w:sz w:val="20"/>
        </w:rPr>
        <w:t>COHERENCE</w:t>
      </w:r>
    </w:p>
    <w:p>
      <w:pPr>
        <w:pStyle w:val="Title"/>
      </w:pPr>
      <w:r>
        <w:t>Annual Revenue</w:t>
        <w:br/>
        <w:t>Planning Guide</w:t>
      </w:r>
    </w:p>
    <w:p>
      <w:pPr>
        <w:pStyle w:val="Subtitle"/>
      </w:pPr>
      <w:r>
        <w:t>A connected operating guide for targets, territories, capacity, pipeline, quotas, compensation, forecasting, and executive cadence</w:t>
      </w:r>
    </w:p>
    <w:p>
      <w:pPr>
        <w:spacing w:after="280"/>
      </w:pPr>
    </w:p>
    <w:tbl>
      <w:tblPr>
        <w:tblW w:type="auto" w:w="0"/>
        <w:tblLayout w:type="fixed"/>
        <w:tblLook w:firstColumn="1" w:firstRow="1" w:lastColumn="0" w:lastRow="0" w:noHBand="0" w:noVBand="1" w:val="04A0"/>
      </w:tblPr>
      <w:tblGrid>
        <w:gridCol w:w="9878"/>
      </w:tblGrid>
      <w:tr>
        <w:tc>
          <w:tcPr>
            <w:tcW w:type="dxa" w:w="9878"/>
            <w:shd w:fill="E8EEF5"/>
            <w:tcMar>
              <w:top w:w="120" w:type="dxa"/>
              <w:start w:w="150" w:type="dxa"/>
              <w:bottom w:w="120" w:type="dxa"/>
              <w:end w:w="150" w:type="dxa"/>
            </w:tcMar>
          </w:tcPr>
          <w:p>
            <w:r/>
            <w:r>
              <w:rPr>
                <w:rFonts w:ascii="Calibri" w:hAnsi="Calibri"/>
                <w:b/>
                <w:color w:val="132E3A"/>
                <w:sz w:val="18"/>
              </w:rPr>
              <w:t xml:space="preserve">THE PLANNING TEST  </w:t>
            </w:r>
            <w:r>
              <w:rPr>
                <w:rFonts w:ascii="Calibri" w:hAnsi="Calibri"/>
                <w:b w:val="0"/>
                <w:color w:val="24323A"/>
                <w:sz w:val="18"/>
              </w:rPr>
              <w:t>Every downstream model must reconcile to one bookings target, one capacity view, and one set of operating assumptions. If two tools disagree, planning is not finished.</w:t>
            </w:r>
          </w:p>
        </w:tc>
      </w:tr>
    </w:tbl>
    <w:p>
      <w:pPr>
        <w:spacing w:after="0"/>
      </w:pPr>
    </w:p>
    <w:p>
      <w:pPr>
        <w:pStyle w:val="Heading1"/>
      </w:pPr>
      <w:r>
        <w:t>How to use this guide</w:t>
      </w:r>
    </w:p>
    <w:p>
      <w:pPr>
        <w:pStyle w:val="ListBullet"/>
        <w:spacing w:after="60"/>
      </w:pPr>
      <w:r>
        <w:t>This guide describes the fictional Coherence calendar-year FY2027 sample, opening January 1, 2027. The downloadable workbooks are standalone files; copy changed inputs manually between them.</w:t>
      </w:r>
    </w:p>
    <w:p>
      <w:pPr>
        <w:pStyle w:val="ListBullet"/>
        <w:spacing w:after="60"/>
      </w:pPr>
      <w:r>
        <w:t>Use the linked spreadsheet beside each web model to inspect formulas and synthetic assumptions. Browser edits are session-only and do not change a downloaded workbook.</w:t>
      </w:r>
    </w:p>
    <w:p>
      <w:pPr>
        <w:pStyle w:val="ListBullet"/>
        <w:spacing w:after="60"/>
      </w:pPr>
      <w:r>
        <w:t>Do not approve compensation, quotas, or territories independently; approve the connected system.</w:t>
      </w:r>
    </w:p>
    <w:p>
      <w:pPr>
        <w:pStyle w:val="ListBullet"/>
        <w:spacing w:after="60"/>
      </w:pPr>
      <w:r>
        <w:t>Freeze only what must be stable. Track approved changes with version, owner, reason, and downstream impact.</w:t>
      </w:r>
    </w:p>
    <w:p>
      <w:r>
        <w:rPr>
          <w:rFonts w:ascii="Calibri" w:hAnsi="Calibri"/>
          <w:b/>
          <w:color w:val="132E3A"/>
        </w:rPr>
        <w:t xml:space="preserve">Model hub: </w:t>
      </w:r>
      <w:hyperlink r:id="rId10">
        <w:r>
          <w:rPr>
            <w:color w:val="1E4C86"/>
            <w:u w:val="single"/>
            <w:b/>
          </w:rPr>
          <w:t>Open Coherence</w:t>
        </w:r>
      </w:hyperlink>
    </w:p>
    <w:p>
      <w:r>
        <w:rPr>
          <w:rFonts w:ascii="Calibri" w:hAnsi="Calibri"/>
          <w:b/>
          <w:color w:val="132E3A"/>
        </w:rPr>
        <w:t xml:space="preserve">Planning guide owner: </w:t>
      </w:r>
      <w:r>
        <w:rPr>
          <w:rFonts w:ascii="Calibri" w:hAnsi="Calibri"/>
          <w:b w:val="0"/>
          <w:color w:val="24323A"/>
        </w:rPr>
        <w:t>Revenue Operations  |  Core approvers: CEO, CRO, CFO, CMO, People/HR</w:t>
      </w:r>
    </w:p>
    <w:p>
      <w:r>
        <w:br w:type="page"/>
      </w:r>
    </w:p>
    <w:p>
      <w:pPr>
        <w:pStyle w:val="Heading1"/>
      </w:pPr>
      <w:r>
        <w:t>1. The connected planning system</w:t>
      </w:r>
    </w:p>
    <w:p>
      <w:r>
        <w:t>Annual planning is a dependency chain, not a collection of independent spreadsheets. Strategy sets the target; firmographics and ICP define where to play; territories and capacity determine coverage; pipeline and marketing determine demand; quotas and compensation translate the plan into field behavior; forecasting and executive reporting govern execution.</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c>
          <w:tcPr>
            <w:tcW w:type="dxa" w:w="648"/>
            <w:vAlign w:val="center"/>
            <w:tcMar>
              <w:top w:w="80" w:type="dxa"/>
              <w:start w:w="120" w:type="dxa"/>
              <w:bottom w:w="80" w:type="dxa"/>
              <w:end w:w="120" w:type="dxa"/>
            </w:tcMar>
            <w:shd w:fill="132E3A"/>
          </w:tcPr>
          <w:p>
            <w:pPr>
              <w:spacing w:after="0"/>
            </w:pPr>
            <w:r/>
            <w:r>
              <w:rPr>
                <w:rFonts w:ascii="Calibri" w:hAnsi="Calibri"/>
                <w:b/>
                <w:color w:val="FFFFFF"/>
                <w:sz w:val="15"/>
              </w:rPr>
              <w:t>ORDER</w:t>
            </w:r>
          </w:p>
        </w:tc>
        <w:tc>
          <w:tcPr>
            <w:tcW w:type="dxa" w:w="1656"/>
            <w:vAlign w:val="center"/>
            <w:tcMar>
              <w:top w:w="80" w:type="dxa"/>
              <w:start w:w="120" w:type="dxa"/>
              <w:bottom w:w="80" w:type="dxa"/>
              <w:end w:w="120" w:type="dxa"/>
            </w:tcMar>
            <w:shd w:fill="132E3A"/>
          </w:tcPr>
          <w:p>
            <w:pPr>
              <w:spacing w:after="0"/>
            </w:pPr>
            <w:r/>
            <w:r>
              <w:rPr>
                <w:rFonts w:ascii="Calibri" w:hAnsi="Calibri"/>
                <w:b/>
                <w:color w:val="FFFFFF"/>
                <w:sz w:val="15"/>
              </w:rPr>
              <w:t>COMPONENT</w:t>
            </w:r>
          </w:p>
        </w:tc>
        <w:tc>
          <w:tcPr>
            <w:tcW w:type="dxa" w:w="3888"/>
            <w:vAlign w:val="center"/>
            <w:tcMar>
              <w:top w:w="80" w:type="dxa"/>
              <w:start w:w="120" w:type="dxa"/>
              <w:bottom w:w="80" w:type="dxa"/>
              <w:end w:w="120" w:type="dxa"/>
            </w:tcMar>
            <w:shd w:fill="132E3A"/>
          </w:tcPr>
          <w:p>
            <w:pPr>
              <w:spacing w:after="0"/>
            </w:pPr>
            <w:r/>
            <w:r>
              <w:rPr>
                <w:rFonts w:ascii="Calibri" w:hAnsi="Calibri"/>
                <w:b/>
                <w:color w:val="FFFFFF"/>
                <w:sz w:val="15"/>
              </w:rPr>
              <w:t>DECISION PRODUCED</w:t>
            </w:r>
          </w:p>
        </w:tc>
        <w:tc>
          <w:tcPr>
            <w:tcW w:type="dxa" w:w="2448"/>
            <w:vAlign w:val="center"/>
            <w:tcMar>
              <w:top w:w="80" w:type="dxa"/>
              <w:start w:w="120" w:type="dxa"/>
              <w:bottom w:w="80" w:type="dxa"/>
              <w:end w:w="120" w:type="dxa"/>
            </w:tcMar>
            <w:shd w:fill="132E3A"/>
          </w:tcPr>
          <w:p>
            <w:pPr>
              <w:spacing w:after="0"/>
            </w:pPr>
            <w:r/>
            <w:r>
              <w:rPr>
                <w:rFonts w:ascii="Calibri" w:hAnsi="Calibri"/>
                <w:b/>
                <w:color w:val="FFFFFF"/>
                <w:sz w:val="15"/>
              </w:rPr>
              <w:t>PRIMARY TOOL</w:t>
            </w:r>
          </w:p>
        </w:tc>
      </w:tr>
      <w:tr>
        <w:tc>
          <w:tcPr>
            <w:tcW w:type="dxa" w:w="648"/>
            <w:vAlign w:val="center"/>
            <w:tcMar>
              <w:top w:w="80" w:type="dxa"/>
              <w:start w:w="120" w:type="dxa"/>
              <w:bottom w:w="80" w:type="dxa"/>
              <w:end w:w="120" w:type="dxa"/>
            </w:tcMar>
            <w:shd w:fill="FFFFFF"/>
          </w:tcPr>
          <w:p>
            <w:pPr>
              <w:spacing w:after="0"/>
            </w:pPr>
            <w:r/>
            <w:r>
              <w:rPr>
                <w:rFonts w:ascii="Calibri" w:hAnsi="Calibri"/>
                <w:b w:val="0"/>
                <w:color w:val="24323A"/>
                <w:sz w:val="15"/>
              </w:rPr>
              <w:t>1</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5"/>
              </w:rPr>
              <w:t>Strategy &amp; bookings</w:t>
            </w:r>
          </w:p>
        </w:tc>
        <w:tc>
          <w:tcPr>
            <w:tcW w:type="dxa" w:w="3888"/>
            <w:vAlign w:val="center"/>
            <w:tcMar>
              <w:top w:w="80" w:type="dxa"/>
              <w:start w:w="120" w:type="dxa"/>
              <w:bottom w:w="80" w:type="dxa"/>
              <w:end w:w="120" w:type="dxa"/>
            </w:tcMar>
            <w:shd w:fill="FFFFFF"/>
          </w:tcPr>
          <w:p>
            <w:pPr>
              <w:spacing w:after="0"/>
            </w:pPr>
            <w:r/>
            <w:r>
              <w:rPr>
                <w:rFonts w:ascii="Calibri" w:hAnsi="Calibri"/>
                <w:b w:val="0"/>
                <w:color w:val="24323A"/>
                <w:sz w:val="15"/>
              </w:rPr>
              <w:t>Growth, ARR bridge, new vs. expansion mix</w:t>
            </w:r>
          </w:p>
        </w:tc>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Bookings target</w:t>
            </w:r>
          </w:p>
        </w:tc>
      </w:tr>
      <w:tr>
        <w:tc>
          <w:tcPr>
            <w:tcW w:type="dxa" w:w="648"/>
            <w:vAlign w:val="center"/>
            <w:tcMar>
              <w:top w:w="80" w:type="dxa"/>
              <w:start w:w="120" w:type="dxa"/>
              <w:bottom w:w="80" w:type="dxa"/>
              <w:end w:w="120" w:type="dxa"/>
            </w:tcMar>
            <w:shd w:fill="F4F7F8"/>
          </w:tcPr>
          <w:p>
            <w:pPr>
              <w:spacing w:after="0"/>
            </w:pPr>
            <w:r/>
            <w:r>
              <w:rPr>
                <w:rFonts w:ascii="Calibri" w:hAnsi="Calibri"/>
                <w:b w:val="0"/>
                <w:color w:val="24323A"/>
                <w:sz w:val="15"/>
              </w:rPr>
              <w:t>2</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5"/>
              </w:rPr>
              <w:t>ICP &amp; segmentation</w:t>
            </w:r>
          </w:p>
        </w:tc>
        <w:tc>
          <w:tcPr>
            <w:tcW w:type="dxa" w:w="3888"/>
            <w:vAlign w:val="center"/>
            <w:tcMar>
              <w:top w:w="80" w:type="dxa"/>
              <w:start w:w="120" w:type="dxa"/>
              <w:bottom w:w="80" w:type="dxa"/>
              <w:end w:w="120" w:type="dxa"/>
            </w:tcMar>
            <w:shd w:fill="F4F7F8"/>
          </w:tcPr>
          <w:p>
            <w:pPr>
              <w:spacing w:after="0"/>
            </w:pPr>
            <w:r/>
            <w:r>
              <w:rPr>
                <w:rFonts w:ascii="Calibri" w:hAnsi="Calibri"/>
                <w:b w:val="0"/>
                <w:color w:val="24323A"/>
                <w:sz w:val="15"/>
              </w:rPr>
              <w:t>Priority accounts, segment definitions, motions</w:t>
            </w:r>
          </w:p>
        </w:tc>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ICP scoring</w:t>
            </w:r>
          </w:p>
        </w:tc>
      </w:tr>
      <w:tr>
        <w:tc>
          <w:tcPr>
            <w:tcW w:type="dxa" w:w="648"/>
            <w:vAlign w:val="center"/>
            <w:tcMar>
              <w:top w:w="80" w:type="dxa"/>
              <w:start w:w="120" w:type="dxa"/>
              <w:bottom w:w="80" w:type="dxa"/>
              <w:end w:w="120" w:type="dxa"/>
            </w:tcMar>
            <w:shd w:fill="FFFFFF"/>
          </w:tcPr>
          <w:p>
            <w:pPr>
              <w:spacing w:after="0"/>
            </w:pPr>
            <w:r/>
            <w:r>
              <w:rPr>
                <w:rFonts w:ascii="Calibri" w:hAnsi="Calibri"/>
                <w:b w:val="0"/>
                <w:color w:val="24323A"/>
                <w:sz w:val="15"/>
              </w:rPr>
              <w:t>3</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5"/>
              </w:rPr>
              <w:t>Territories &amp; coverage</w:t>
            </w:r>
          </w:p>
        </w:tc>
        <w:tc>
          <w:tcPr>
            <w:tcW w:type="dxa" w:w="3888"/>
            <w:vAlign w:val="center"/>
            <w:tcMar>
              <w:top w:w="80" w:type="dxa"/>
              <w:start w:w="120" w:type="dxa"/>
              <w:bottom w:w="80" w:type="dxa"/>
              <w:end w:w="120" w:type="dxa"/>
            </w:tcMar>
            <w:shd w:fill="FFFFFF"/>
          </w:tcPr>
          <w:p>
            <w:pPr>
              <w:spacing w:after="0"/>
            </w:pPr>
            <w:r/>
            <w:r>
              <w:rPr>
                <w:rFonts w:ascii="Calibri" w:hAnsi="Calibri"/>
                <w:b w:val="0"/>
                <w:color w:val="24323A"/>
                <w:sz w:val="15"/>
              </w:rPr>
              <w:t>Account ownership, potential, workload balance</w:t>
            </w:r>
          </w:p>
        </w:tc>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Territory design</w:t>
            </w:r>
          </w:p>
        </w:tc>
      </w:tr>
      <w:tr>
        <w:tc>
          <w:tcPr>
            <w:tcW w:type="dxa" w:w="648"/>
            <w:vAlign w:val="center"/>
            <w:tcMar>
              <w:top w:w="80" w:type="dxa"/>
              <w:start w:w="120" w:type="dxa"/>
              <w:bottom w:w="80" w:type="dxa"/>
              <w:end w:w="120" w:type="dxa"/>
            </w:tcMar>
            <w:shd w:fill="F4F7F8"/>
          </w:tcPr>
          <w:p>
            <w:pPr>
              <w:spacing w:after="0"/>
            </w:pPr>
            <w:r/>
            <w:r>
              <w:rPr>
                <w:rFonts w:ascii="Calibri" w:hAnsi="Calibri"/>
                <w:b w:val="0"/>
                <w:color w:val="24323A"/>
                <w:sz w:val="15"/>
              </w:rPr>
              <w:t>4</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5"/>
              </w:rPr>
              <w:t>Capacity &amp; hiring</w:t>
            </w:r>
          </w:p>
        </w:tc>
        <w:tc>
          <w:tcPr>
            <w:tcW w:type="dxa" w:w="3888"/>
            <w:vAlign w:val="center"/>
            <w:tcMar>
              <w:top w:w="80" w:type="dxa"/>
              <w:start w:w="120" w:type="dxa"/>
              <w:bottom w:w="80" w:type="dxa"/>
              <w:end w:w="120" w:type="dxa"/>
            </w:tcMar>
            <w:shd w:fill="F4F7F8"/>
          </w:tcPr>
          <w:p>
            <w:pPr>
              <w:spacing w:after="0"/>
            </w:pPr>
            <w:r/>
            <w:r>
              <w:rPr>
                <w:rFonts w:ascii="Calibri" w:hAnsi="Calibri"/>
                <w:b w:val="0"/>
                <w:color w:val="24323A"/>
                <w:sz w:val="15"/>
              </w:rPr>
              <w:t>Productive capacity, ramp, attrition, hiring dates</w:t>
            </w:r>
          </w:p>
        </w:tc>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Capacity plan</w:t>
            </w:r>
          </w:p>
        </w:tc>
      </w:tr>
      <w:tr>
        <w:tc>
          <w:tcPr>
            <w:tcW w:type="dxa" w:w="648"/>
            <w:vAlign w:val="center"/>
            <w:tcMar>
              <w:top w:w="80" w:type="dxa"/>
              <w:start w:w="120" w:type="dxa"/>
              <w:bottom w:w="80" w:type="dxa"/>
              <w:end w:w="120" w:type="dxa"/>
            </w:tcMar>
            <w:shd w:fill="FFFFFF"/>
          </w:tcPr>
          <w:p>
            <w:pPr>
              <w:spacing w:after="0"/>
            </w:pPr>
            <w:r/>
            <w:r>
              <w:rPr>
                <w:rFonts w:ascii="Calibri" w:hAnsi="Calibri"/>
                <w:b w:val="0"/>
                <w:color w:val="24323A"/>
                <w:sz w:val="15"/>
              </w:rPr>
              <w:t>5</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5"/>
              </w:rPr>
              <w:t>Pipeline &amp; marketing</w:t>
            </w:r>
          </w:p>
        </w:tc>
        <w:tc>
          <w:tcPr>
            <w:tcW w:type="dxa" w:w="3888"/>
            <w:vAlign w:val="center"/>
            <w:tcMar>
              <w:top w:w="80" w:type="dxa"/>
              <w:start w:w="120" w:type="dxa"/>
              <w:bottom w:w="80" w:type="dxa"/>
              <w:end w:w="120" w:type="dxa"/>
            </w:tcMar>
            <w:shd w:fill="FFFFFF"/>
          </w:tcPr>
          <w:p>
            <w:pPr>
              <w:spacing w:after="0"/>
            </w:pPr>
            <w:r/>
            <w:r>
              <w:rPr>
                <w:rFonts w:ascii="Calibri" w:hAnsi="Calibri"/>
                <w:b w:val="0"/>
                <w:color w:val="24323A"/>
                <w:sz w:val="15"/>
              </w:rPr>
              <w:t>Required pipeline, source mix, funnel economics</w:t>
            </w:r>
          </w:p>
        </w:tc>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Pipeline + Marketing</w:t>
            </w:r>
          </w:p>
        </w:tc>
      </w:tr>
      <w:tr>
        <w:tc>
          <w:tcPr>
            <w:tcW w:type="dxa" w:w="648"/>
            <w:vAlign w:val="center"/>
            <w:tcMar>
              <w:top w:w="80" w:type="dxa"/>
              <w:start w:w="120" w:type="dxa"/>
              <w:bottom w:w="80" w:type="dxa"/>
              <w:end w:w="120" w:type="dxa"/>
            </w:tcMar>
            <w:shd w:fill="F4F7F8"/>
          </w:tcPr>
          <w:p>
            <w:pPr>
              <w:spacing w:after="0"/>
            </w:pPr>
            <w:r/>
            <w:r>
              <w:rPr>
                <w:rFonts w:ascii="Calibri" w:hAnsi="Calibri"/>
                <w:b w:val="0"/>
                <w:color w:val="24323A"/>
                <w:sz w:val="15"/>
              </w:rPr>
              <w:t>6</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5"/>
              </w:rPr>
              <w:t>Quota allocation</w:t>
            </w:r>
          </w:p>
        </w:tc>
        <w:tc>
          <w:tcPr>
            <w:tcW w:type="dxa" w:w="3888"/>
            <w:vAlign w:val="center"/>
            <w:tcMar>
              <w:top w:w="80" w:type="dxa"/>
              <w:start w:w="120" w:type="dxa"/>
              <w:bottom w:w="80" w:type="dxa"/>
              <w:end w:w="120" w:type="dxa"/>
            </w:tcMar>
            <w:shd w:fill="F4F7F8"/>
          </w:tcPr>
          <w:p>
            <w:pPr>
              <w:spacing w:after="0"/>
            </w:pPr>
            <w:r/>
            <w:r>
              <w:rPr>
                <w:rFonts w:ascii="Calibri" w:hAnsi="Calibri"/>
                <w:b w:val="0"/>
                <w:color w:val="24323A"/>
                <w:sz w:val="15"/>
              </w:rPr>
              <w:t>Quota pool, role/segment allocation, attainability</w:t>
            </w:r>
          </w:p>
        </w:tc>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Quota allocation</w:t>
            </w:r>
          </w:p>
        </w:tc>
      </w:tr>
      <w:tr>
        <w:tc>
          <w:tcPr>
            <w:tcW w:type="dxa" w:w="648"/>
            <w:vAlign w:val="center"/>
            <w:tcMar>
              <w:top w:w="80" w:type="dxa"/>
              <w:start w:w="120" w:type="dxa"/>
              <w:bottom w:w="80" w:type="dxa"/>
              <w:end w:w="120" w:type="dxa"/>
            </w:tcMar>
            <w:shd w:fill="FFFFFF"/>
          </w:tcPr>
          <w:p>
            <w:pPr>
              <w:spacing w:after="0"/>
            </w:pPr>
            <w:r/>
            <w:r>
              <w:rPr>
                <w:rFonts w:ascii="Calibri" w:hAnsi="Calibri"/>
                <w:b w:val="0"/>
                <w:color w:val="24323A"/>
                <w:sz w:val="15"/>
              </w:rPr>
              <w:t>7</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5"/>
              </w:rPr>
              <w:t>Compensation</w:t>
            </w:r>
          </w:p>
        </w:tc>
        <w:tc>
          <w:tcPr>
            <w:tcW w:type="dxa" w:w="3888"/>
            <w:vAlign w:val="center"/>
            <w:tcMar>
              <w:top w:w="80" w:type="dxa"/>
              <w:start w:w="120" w:type="dxa"/>
              <w:bottom w:w="80" w:type="dxa"/>
              <w:end w:w="120" w:type="dxa"/>
            </w:tcMar>
            <w:shd w:fill="FFFFFF"/>
          </w:tcPr>
          <w:p>
            <w:pPr>
              <w:spacing w:after="0"/>
            </w:pPr>
            <w:r/>
            <w:r>
              <w:rPr>
                <w:rFonts w:ascii="Calibri" w:hAnsi="Calibri"/>
                <w:b w:val="0"/>
                <w:color w:val="24323A"/>
                <w:sz w:val="15"/>
              </w:rPr>
              <w:t>Role behavior, measures, payout curve, crediting</w:t>
            </w:r>
          </w:p>
        </w:tc>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Compensation design</w:t>
            </w:r>
          </w:p>
        </w:tc>
      </w:tr>
      <w:tr>
        <w:tc>
          <w:tcPr>
            <w:tcW w:type="dxa" w:w="648"/>
            <w:vAlign w:val="center"/>
            <w:tcMar>
              <w:top w:w="80" w:type="dxa"/>
              <w:start w:w="120" w:type="dxa"/>
              <w:bottom w:w="80" w:type="dxa"/>
              <w:end w:w="120" w:type="dxa"/>
            </w:tcMar>
            <w:shd w:fill="F4F7F8"/>
          </w:tcPr>
          <w:p>
            <w:pPr>
              <w:spacing w:after="0"/>
            </w:pPr>
            <w:r/>
            <w:r>
              <w:rPr>
                <w:rFonts w:ascii="Calibri" w:hAnsi="Calibri"/>
                <w:b w:val="0"/>
                <w:color w:val="24323A"/>
                <w:sz w:val="15"/>
              </w:rPr>
              <w:t>8</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5"/>
              </w:rPr>
              <w:t>Forecast &amp; governance</w:t>
            </w:r>
          </w:p>
        </w:tc>
        <w:tc>
          <w:tcPr>
            <w:tcW w:type="dxa" w:w="3888"/>
            <w:vAlign w:val="center"/>
            <w:tcMar>
              <w:top w:w="80" w:type="dxa"/>
              <w:start w:w="120" w:type="dxa"/>
              <w:bottom w:w="80" w:type="dxa"/>
              <w:end w:w="120" w:type="dxa"/>
            </w:tcMar>
            <w:shd w:fill="F4F7F8"/>
          </w:tcPr>
          <w:p>
            <w:pPr>
              <w:spacing w:after="0"/>
            </w:pPr>
            <w:r/>
            <w:r>
              <w:rPr>
                <w:rFonts w:ascii="Calibri" w:hAnsi="Calibri"/>
                <w:b w:val="0"/>
                <w:color w:val="24323A"/>
                <w:sz w:val="15"/>
              </w:rPr>
              <w:t>Commit logic, inspection, executive decisions</w:t>
            </w:r>
          </w:p>
        </w:tc>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Forecast + Executive</w:t>
            </w:r>
          </w:p>
        </w:tc>
      </w:tr>
    </w:tbl>
    <w:p>
      <w:pPr>
        <w:spacing w:after="0"/>
      </w:pPr>
    </w:p>
    <w:p>
      <w:pPr>
        <w:pStyle w:val="Heading2"/>
      </w:pPr>
      <w:r>
        <w:t>Non-negotiable reconciliations</w:t>
      </w:r>
    </w:p>
    <w:p>
      <w:pPr>
        <w:pStyle w:val="ListBullet"/>
        <w:spacing w:after="60"/>
      </w:pPr>
      <w:r>
        <w:t>FY2027 new + expansion ARR bookings target is $24M. Segment targets and primary demand-source targets each sum separately to $24M. The 75% seller-carried share is an ownership dimension, not an additional demand source.</w:t>
      </w:r>
    </w:p>
    <w:p>
      <w:pPr>
        <w:pStyle w:val="ListBullet"/>
        <w:spacing w:after="60"/>
      </w:pPr>
      <w:r>
        <w:t>Required remaining pipeline equals source-level remaining bookings divided by its source win rate. The $51M opening pipeline is a dated synthetic opportunity fixture; coverage uses the same close period and source.</w:t>
      </w:r>
    </w:p>
    <w:p>
      <w:pPr>
        <w:pStyle w:val="ListBullet"/>
        <w:spacing w:after="60"/>
      </w:pPr>
      <w:r>
        <w:t>The nine incumbent sellers begin fully ramped. Gross annual capacity is $15.5M; a separate 10% attrition adjustment yields $13.95M, a $4.05M shortfall against the $18M seller target. New-hire ramps do not reduce incumbent capacity.</w:t>
      </w:r>
    </w:p>
    <w:p>
      <w:pPr>
        <w:pStyle w:val="ListBullet"/>
        <w:spacing w:after="60"/>
      </w:pPr>
      <w:r>
        <w:t>The nine-seller target incentive total is $931,000 at individual target attainment. Marginal payout tiers are 1.00x through 100%, 1.25x through 120%, and 1.50x above. This excludes salary, benefits and other costs.</w:t>
      </w:r>
    </w:p>
    <w:p>
      <w:pPr>
        <w:pStyle w:val="ListBullet"/>
        <w:spacing w:after="60"/>
      </w:pPr>
      <w:r>
        <w:t>The January 1 opening forecast has zero FY2027 closed-won actuals. The synthetic, dated $51M open fixture produces a $25.5M weighted forecast at 15% / 50% / 85% category weights. It is not a confidence interval or a claim of observed outcomes.</w:t>
      </w:r>
    </w:p>
    <w:p>
      <w:r>
        <w:br w:type="page"/>
      </w:r>
    </w:p>
    <w:p>
      <w:pPr>
        <w:pStyle w:val="Heading1"/>
      </w:pPr>
      <w:r>
        <w:t>2. Milestone calendar and stage gates</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c>
          <w:tcPr>
            <w:tcW w:type="dxa" w:w="1080"/>
            <w:vAlign w:val="center"/>
            <w:tcMar>
              <w:top w:w="80" w:type="dxa"/>
              <w:start w:w="120" w:type="dxa"/>
              <w:bottom w:w="80" w:type="dxa"/>
              <w:end w:w="120" w:type="dxa"/>
            </w:tcMar>
            <w:shd w:fill="132E3A"/>
          </w:tcPr>
          <w:p>
            <w:pPr>
              <w:spacing w:after="0"/>
            </w:pPr>
            <w:r/>
            <w:r>
              <w:rPr>
                <w:rFonts w:ascii="Calibri" w:hAnsi="Calibri"/>
                <w:b/>
                <w:color w:val="FFFFFF"/>
                <w:sz w:val="15"/>
              </w:rPr>
              <w:t>WINDOW</w:t>
            </w:r>
          </w:p>
        </w:tc>
        <w:tc>
          <w:tcPr>
            <w:tcW w:type="dxa" w:w="2376"/>
            <w:vAlign w:val="center"/>
            <w:tcMar>
              <w:top w:w="80" w:type="dxa"/>
              <w:start w:w="120" w:type="dxa"/>
              <w:bottom w:w="80" w:type="dxa"/>
              <w:end w:w="120" w:type="dxa"/>
            </w:tcMar>
            <w:shd w:fill="132E3A"/>
          </w:tcPr>
          <w:p>
            <w:pPr>
              <w:spacing w:after="0"/>
            </w:pPr>
            <w:r/>
            <w:r>
              <w:rPr>
                <w:rFonts w:ascii="Calibri" w:hAnsi="Calibri"/>
                <w:b/>
                <w:color w:val="FFFFFF"/>
                <w:sz w:val="15"/>
              </w:rPr>
              <w:t>MILESTONE / GATE</w:t>
            </w:r>
          </w:p>
        </w:tc>
        <w:tc>
          <w:tcPr>
            <w:tcW w:type="dxa" w:w="1656"/>
            <w:vAlign w:val="center"/>
            <w:tcMar>
              <w:top w:w="80" w:type="dxa"/>
              <w:start w:w="120" w:type="dxa"/>
              <w:bottom w:w="80" w:type="dxa"/>
              <w:end w:w="120" w:type="dxa"/>
            </w:tcMar>
            <w:shd w:fill="132E3A"/>
          </w:tcPr>
          <w:p>
            <w:pPr>
              <w:spacing w:after="0"/>
            </w:pPr>
            <w:r/>
            <w:r>
              <w:rPr>
                <w:rFonts w:ascii="Calibri" w:hAnsi="Calibri"/>
                <w:b/>
                <w:color w:val="FFFFFF"/>
                <w:sz w:val="15"/>
              </w:rPr>
              <w:t>ACCOUNTABLE</w:t>
            </w:r>
          </w:p>
        </w:tc>
        <w:tc>
          <w:tcPr>
            <w:tcW w:type="dxa" w:w="4320"/>
            <w:vAlign w:val="center"/>
            <w:tcMar>
              <w:top w:w="80" w:type="dxa"/>
              <w:start w:w="120" w:type="dxa"/>
              <w:bottom w:w="80" w:type="dxa"/>
              <w:end w:w="120" w:type="dxa"/>
            </w:tcMar>
            <w:shd w:fill="132E3A"/>
          </w:tcPr>
          <w:p>
            <w:pPr>
              <w:spacing w:after="0"/>
            </w:pPr>
            <w:r/>
            <w:r>
              <w:rPr>
                <w:rFonts w:ascii="Calibri" w:hAnsi="Calibri"/>
                <w:b/>
                <w:color w:val="FFFFFF"/>
                <w:sz w:val="15"/>
              </w:rPr>
              <w:t>EXIT CRITERIA</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T–20 to T–18</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Planning charter &amp; baseline</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CRO / RevOps</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Scope, owners, calendar, actuals, definitions signed off</w:t>
            </w:r>
          </w:p>
        </w:tc>
      </w:tr>
      <w:tr>
        <w:tc>
          <w:tcPr>
            <w:tcW w:type="dxa" w:w="1080"/>
            <w:vAlign w:val="center"/>
            <w:tcMar>
              <w:top w:w="80" w:type="dxa"/>
              <w:start w:w="120" w:type="dxa"/>
              <w:bottom w:w="80" w:type="dxa"/>
              <w:end w:w="120" w:type="dxa"/>
            </w:tcMar>
            <w:shd w:fill="F4F7F8"/>
          </w:tcPr>
          <w:p>
            <w:pPr>
              <w:spacing w:after="0"/>
            </w:pPr>
            <w:r/>
            <w:r>
              <w:rPr>
                <w:rFonts w:ascii="Calibri" w:hAnsi="Calibri"/>
                <w:b w:val="0"/>
                <w:color w:val="24323A"/>
                <w:sz w:val="14"/>
              </w:rPr>
              <w:t>T–18 to T–16</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4"/>
              </w:rPr>
              <w:t>Strategy and bookings target</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4"/>
              </w:rPr>
              <w:t>CEO / CFO</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ARR bridge, growth, mix, margin guardrails approved</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T–16 to T–14</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ICP, segmentation, motions</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CRO / CMO</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Segments are measurable; TAM and priority-account logic agreed</w:t>
            </w:r>
          </w:p>
        </w:tc>
      </w:tr>
      <w:tr>
        <w:tc>
          <w:tcPr>
            <w:tcW w:type="dxa" w:w="1080"/>
            <w:vAlign w:val="center"/>
            <w:tcMar>
              <w:top w:w="80" w:type="dxa"/>
              <w:start w:w="120" w:type="dxa"/>
              <w:bottom w:w="80" w:type="dxa"/>
              <w:end w:w="120" w:type="dxa"/>
            </w:tcMar>
            <w:shd w:fill="F4F7F8"/>
          </w:tcPr>
          <w:p>
            <w:pPr>
              <w:spacing w:after="0"/>
            </w:pPr>
            <w:r/>
            <w:r>
              <w:rPr>
                <w:rFonts w:ascii="Calibri" w:hAnsi="Calibri"/>
                <w:b w:val="0"/>
                <w:color w:val="24323A"/>
                <w:sz w:val="14"/>
              </w:rPr>
              <w:t>T–14 to T–12</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4"/>
              </w:rPr>
              <w:t>Territory and capacity draft</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4"/>
              </w:rPr>
              <w:t>Sales / RevOps</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Coverage, ramp, hiring and attrition scenarios reconcile</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T–12 to T–10</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Pipeline and marketing plan</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CMO / CRO</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Source targets, funnel rates, timing and spend reconcile</w:t>
            </w:r>
          </w:p>
        </w:tc>
      </w:tr>
      <w:tr>
        <w:tc>
          <w:tcPr>
            <w:tcW w:type="dxa" w:w="1080"/>
            <w:vAlign w:val="center"/>
            <w:tcMar>
              <w:top w:w="80" w:type="dxa"/>
              <w:start w:w="120" w:type="dxa"/>
              <w:bottom w:w="80" w:type="dxa"/>
              <w:end w:w="120" w:type="dxa"/>
            </w:tcMar>
            <w:shd w:fill="F4F7F8"/>
          </w:tcPr>
          <w:p>
            <w:pPr>
              <w:spacing w:after="0"/>
            </w:pPr>
            <w:r/>
            <w:r>
              <w:rPr>
                <w:rFonts w:ascii="Calibri" w:hAnsi="Calibri"/>
                <w:b w:val="0"/>
                <w:color w:val="24323A"/>
                <w:sz w:val="14"/>
              </w:rPr>
              <w:t>T–10 to T–8</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4"/>
              </w:rPr>
              <w:t>Quota architecture</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4"/>
              </w:rPr>
              <w:t>CRO / Finance</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Quota pool, allocation rules and attainability approved</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T–9 to T–6</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Compensation design</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CRO / Finance / HR</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Roles, measures, curves, crediting, cost and governance approved</w:t>
            </w:r>
          </w:p>
        </w:tc>
      </w:tr>
      <w:tr>
        <w:tc>
          <w:tcPr>
            <w:tcW w:type="dxa" w:w="1080"/>
            <w:vAlign w:val="center"/>
            <w:tcMar>
              <w:top w:w="80" w:type="dxa"/>
              <w:start w:w="120" w:type="dxa"/>
              <w:bottom w:w="80" w:type="dxa"/>
              <w:end w:w="120" w:type="dxa"/>
            </w:tcMar>
            <w:shd w:fill="F4F7F8"/>
          </w:tcPr>
          <w:p>
            <w:pPr>
              <w:spacing w:after="0"/>
            </w:pPr>
            <w:r/>
            <w:r>
              <w:rPr>
                <w:rFonts w:ascii="Calibri" w:hAnsi="Calibri"/>
                <w:b w:val="0"/>
                <w:color w:val="24323A"/>
                <w:sz w:val="14"/>
              </w:rPr>
              <w:t>T–6 to T–4</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4"/>
              </w:rPr>
              <w:t>Integrated stress test</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4"/>
              </w:rPr>
              <w:t>CFO / RevOps</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Base, downside, upside and hiring-delay cases pass</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T–4 to T–2</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Systems and manager readiness</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RevOps / HR</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CRM, ICM, dashboards, documents and training tested</w:t>
            </w:r>
          </w:p>
        </w:tc>
      </w:tr>
      <w:tr>
        <w:tc>
          <w:tcPr>
            <w:tcW w:type="dxa" w:w="1080"/>
            <w:vAlign w:val="center"/>
            <w:tcMar>
              <w:top w:w="80" w:type="dxa"/>
              <w:start w:w="120" w:type="dxa"/>
              <w:bottom w:w="80" w:type="dxa"/>
              <w:end w:w="120" w:type="dxa"/>
            </w:tcMar>
            <w:shd w:fill="F4F7F8"/>
          </w:tcPr>
          <w:p>
            <w:pPr>
              <w:spacing w:after="0"/>
            </w:pPr>
            <w:r/>
            <w:r>
              <w:rPr>
                <w:rFonts w:ascii="Calibri" w:hAnsi="Calibri"/>
                <w:b w:val="0"/>
                <w:color w:val="24323A"/>
                <w:sz w:val="14"/>
              </w:rPr>
              <w:t>T–2 to T+1</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4"/>
              </w:rPr>
              <w:t>Launch and acknowledgment</w:t>
            </w:r>
          </w:p>
        </w:tc>
        <w:tc>
          <w:tcPr>
            <w:tcW w:type="dxa" w:w="1656"/>
            <w:vAlign w:val="center"/>
            <w:tcMar>
              <w:top w:w="80" w:type="dxa"/>
              <w:start w:w="120" w:type="dxa"/>
              <w:bottom w:w="80" w:type="dxa"/>
              <w:end w:w="120" w:type="dxa"/>
            </w:tcMar>
            <w:shd w:fill="F4F7F8"/>
          </w:tcPr>
          <w:p>
            <w:pPr>
              <w:spacing w:after="0"/>
            </w:pPr>
            <w:r/>
            <w:r>
              <w:rPr>
                <w:rFonts w:ascii="Calibri" w:hAnsi="Calibri"/>
                <w:b w:val="0"/>
                <w:color w:val="24323A"/>
                <w:sz w:val="14"/>
              </w:rPr>
              <w:t>Sales leadership</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Territories, quotas and plan documents delivered</w:t>
            </w:r>
          </w:p>
        </w:tc>
      </w:tr>
      <w:tr>
        <w:tc>
          <w:tcPr>
            <w:tcW w:type="dxa" w:w="1080"/>
            <w:vAlign w:val="center"/>
            <w:tcMar>
              <w:top w:w="80" w:type="dxa"/>
              <w:start w:w="120" w:type="dxa"/>
              <w:bottom w:w="80" w:type="dxa"/>
              <w:end w:w="120" w:type="dxa"/>
            </w:tcMar>
            <w:shd w:fill="FFFFFF"/>
          </w:tcPr>
          <w:p>
            <w:pPr>
              <w:spacing w:after="0"/>
            </w:pPr>
            <w:r/>
            <w:r>
              <w:rPr>
                <w:rFonts w:ascii="Calibri" w:hAnsi="Calibri"/>
                <w:b w:val="0"/>
                <w:color w:val="24323A"/>
                <w:sz w:val="14"/>
              </w:rPr>
              <w:t>T+2 to T+4</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4"/>
              </w:rPr>
              <w:t>Stabilization audit</w:t>
            </w:r>
          </w:p>
        </w:tc>
        <w:tc>
          <w:tcPr>
            <w:tcW w:type="dxa" w:w="1656"/>
            <w:vAlign w:val="center"/>
            <w:tcMar>
              <w:top w:w="80" w:type="dxa"/>
              <w:start w:w="120" w:type="dxa"/>
              <w:bottom w:w="80" w:type="dxa"/>
              <w:end w:w="120" w:type="dxa"/>
            </w:tcMar>
            <w:shd w:fill="FFFFFF"/>
          </w:tcPr>
          <w:p>
            <w:pPr>
              <w:spacing w:after="0"/>
            </w:pPr>
            <w:r/>
            <w:r>
              <w:rPr>
                <w:rFonts w:ascii="Calibri" w:hAnsi="Calibri"/>
                <w:b w:val="0"/>
                <w:color w:val="24323A"/>
                <w:sz w:val="14"/>
              </w:rPr>
              <w:t>RevOps / Finance</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First crediting, forecast and payout controls validated</w:t>
            </w:r>
          </w:p>
        </w:tc>
      </w:tr>
    </w:tbl>
    <w:p>
      <w:pPr>
        <w:spacing w:after="0"/>
      </w:pPr>
    </w:p>
    <w:tbl>
      <w:tblPr>
        <w:tblW w:type="auto" w:w="0"/>
        <w:tblLayout w:type="fixed"/>
        <w:tblLook w:firstColumn="1" w:firstRow="1" w:lastColumn="0" w:lastRow="0" w:noHBand="0" w:noVBand="1" w:val="04A0"/>
      </w:tblPr>
      <w:tblGrid>
        <w:gridCol w:w="9878"/>
      </w:tblGrid>
      <w:tr>
        <w:tc>
          <w:tcPr>
            <w:tcW w:type="dxa" w:w="9878"/>
            <w:shd w:fill="F7E9C6"/>
            <w:tcMar>
              <w:top w:w="120" w:type="dxa"/>
              <w:start w:w="150" w:type="dxa"/>
              <w:bottom w:w="120" w:type="dxa"/>
              <w:end w:w="150" w:type="dxa"/>
            </w:tcMar>
          </w:tcPr>
          <w:p>
            <w:r/>
            <w:r>
              <w:rPr>
                <w:rFonts w:ascii="Calibri" w:hAnsi="Calibri"/>
                <w:b/>
                <w:color w:val="132E3A"/>
                <w:sz w:val="18"/>
              </w:rPr>
              <w:t xml:space="preserve">CHANGE CONTROL  </w:t>
            </w:r>
            <w:r>
              <w:rPr>
                <w:rFonts w:ascii="Calibri" w:hAnsi="Calibri"/>
                <w:b w:val="0"/>
                <w:color w:val="24323A"/>
                <w:sz w:val="18"/>
              </w:rPr>
              <w:t>After the integrated stress test, every change requires an owner, reason, approval, effective date, and an explicit list of affected models.</w:t>
            </w:r>
          </w:p>
        </w:tc>
      </w:tr>
    </w:tbl>
    <w:p>
      <w:pPr>
        <w:spacing w:after="0"/>
      </w:pPr>
    </w:p>
    <w:p>
      <w:pPr>
        <w:pStyle w:val="Heading2"/>
      </w:pPr>
      <w:r>
        <w:t>Stage-gate operating rule</w:t>
      </w:r>
    </w:p>
    <w:p>
      <w:r>
        <w:t>A gate is a decision, not a meeting. Pre-read materials should state the decision requested, unresolved assumptions, scenario range, recommendation, approvers, and the consequence of delay. A gate remains open until exit criteria are evidenced.</w:t>
      </w:r>
    </w:p>
    <w:p>
      <w:r>
        <w:br w:type="page"/>
      </w:r>
    </w:p>
    <w:p>
      <w:pPr>
        <w:pStyle w:val="Heading1"/>
      </w:pPr>
      <w:r>
        <w:t>3. Component playbook and tool links</w:t>
      </w:r>
    </w:p>
    <w:p>
      <w:pPr>
        <w:pStyle w:val="Heading2"/>
      </w:pPr>
      <w:r>
        <w:t>Bookings target</w:t>
      </w:r>
    </w:p>
    <w:p>
      <w:r>
        <w:rPr>
          <w:rFonts w:ascii="Calibri" w:hAnsi="Calibri"/>
          <w:b/>
          <w:color w:val="132E3A"/>
        </w:rPr>
        <w:t xml:space="preserve">Purpose: </w:t>
      </w:r>
      <w:r>
        <w:rPr>
          <w:rFonts w:ascii="Calibri" w:hAnsi="Calibri"/>
          <w:b w:val="0"/>
          <w:color w:val="24323A"/>
        </w:rPr>
        <w:t xml:space="preserve">Define the ARR bridge, target mix, growth and margin guardrails. </w:t>
      </w:r>
      <w:r>
        <w:rPr>
          <w:rFonts w:ascii="Calibri" w:hAnsi="Calibri"/>
          <w:b/>
          <w:color w:val="132E3A"/>
        </w:rPr>
        <w:t xml:space="preserve">Owner: </w:t>
      </w:r>
      <w:r>
        <w:rPr>
          <w:rFonts w:ascii="Calibri" w:hAnsi="Calibri"/>
          <w:b w:val="0"/>
          <w:color w:val="24323A"/>
        </w:rPr>
        <w:t xml:space="preserve">CFO + CEO. </w:t>
      </w:r>
      <w:r>
        <w:rPr>
          <w:rFonts w:ascii="Calibri" w:hAnsi="Calibri"/>
          <w:b/>
          <w:color w:val="132E3A"/>
        </w:rPr>
        <w:t xml:space="preserve">Best practice: </w:t>
      </w:r>
      <w:r>
        <w:rPr>
          <w:rFonts w:ascii="Calibri" w:hAnsi="Calibri"/>
          <w:b w:val="0"/>
          <w:color w:val="24323A"/>
        </w:rPr>
        <w:t xml:space="preserve">Reconcile beginning ARR, churn, contraction, expansion, new business and ending ARR. </w:t>
      </w:r>
      <w:hyperlink r:id="rId11">
        <w:r>
          <w:rPr>
            <w:color w:val="1E4C86"/>
            <w:u w:val="single"/>
          </w:rPr>
          <w:t>Open spreadsheet</w:t>
        </w:r>
      </w:hyperlink>
    </w:p>
    <w:p>
      <w:pPr>
        <w:pStyle w:val="Heading2"/>
      </w:pPr>
      <w:r>
        <w:t>ICP scoring</w:t>
      </w:r>
    </w:p>
    <w:p>
      <w:r>
        <w:rPr>
          <w:rFonts w:ascii="Calibri" w:hAnsi="Calibri"/>
          <w:b/>
          <w:color w:val="132E3A"/>
        </w:rPr>
        <w:t xml:space="preserve">Purpose: </w:t>
      </w:r>
      <w:r>
        <w:rPr>
          <w:rFonts w:ascii="Calibri" w:hAnsi="Calibri"/>
          <w:b w:val="0"/>
          <w:color w:val="24323A"/>
        </w:rPr>
        <w:t xml:space="preserve">Make “best fit” measurable using firmographic, technographic, intent and operating signals. </w:t>
      </w:r>
      <w:r>
        <w:rPr>
          <w:rFonts w:ascii="Calibri" w:hAnsi="Calibri"/>
          <w:b/>
          <w:color w:val="132E3A"/>
        </w:rPr>
        <w:t xml:space="preserve">Owner: </w:t>
      </w:r>
      <w:r>
        <w:rPr>
          <w:rFonts w:ascii="Calibri" w:hAnsi="Calibri"/>
          <w:b w:val="0"/>
          <w:color w:val="24323A"/>
        </w:rPr>
        <w:t xml:space="preserve">Marketing + Sales. </w:t>
      </w:r>
      <w:r>
        <w:rPr>
          <w:rFonts w:ascii="Calibri" w:hAnsi="Calibri"/>
          <w:b/>
          <w:color w:val="132E3A"/>
        </w:rPr>
        <w:t xml:space="preserve">Best practice: </w:t>
      </w:r>
      <w:r>
        <w:rPr>
          <w:rFonts w:ascii="Calibri" w:hAnsi="Calibri"/>
          <w:b w:val="0"/>
          <w:color w:val="24323A"/>
        </w:rPr>
        <w:t xml:space="preserve">Separate fit from intent; validate score against win rate, ASP, cycle and retention. </w:t>
      </w:r>
      <w:hyperlink r:id="rId12">
        <w:r>
          <w:rPr>
            <w:color w:val="1E4C86"/>
            <w:u w:val="single"/>
          </w:rPr>
          <w:t>Open spreadsheet</w:t>
        </w:r>
      </w:hyperlink>
    </w:p>
    <w:p>
      <w:pPr>
        <w:pStyle w:val="Heading2"/>
      </w:pPr>
      <w:r>
        <w:t>Territory design</w:t>
      </w:r>
    </w:p>
    <w:p>
      <w:r>
        <w:rPr>
          <w:rFonts w:ascii="Calibri" w:hAnsi="Calibri"/>
          <w:b/>
          <w:color w:val="132E3A"/>
        </w:rPr>
        <w:t xml:space="preserve">Purpose: </w:t>
      </w:r>
      <w:r>
        <w:rPr>
          <w:rFonts w:ascii="Calibri" w:hAnsi="Calibri"/>
          <w:b w:val="0"/>
          <w:color w:val="24323A"/>
        </w:rPr>
        <w:t xml:space="preserve">Create equitable opportunity and manageable workload. </w:t>
      </w:r>
      <w:r>
        <w:rPr>
          <w:rFonts w:ascii="Calibri" w:hAnsi="Calibri"/>
          <w:b/>
          <w:color w:val="132E3A"/>
        </w:rPr>
        <w:t xml:space="preserve">Owner: </w:t>
      </w:r>
      <w:r>
        <w:rPr>
          <w:rFonts w:ascii="Calibri" w:hAnsi="Calibri"/>
          <w:b w:val="0"/>
          <w:color w:val="24323A"/>
        </w:rPr>
        <w:t xml:space="preserve">Sales + RevOps. </w:t>
      </w:r>
      <w:r>
        <w:rPr>
          <w:rFonts w:ascii="Calibri" w:hAnsi="Calibri"/>
          <w:b/>
          <w:color w:val="132E3A"/>
        </w:rPr>
        <w:t xml:space="preserve">Best practice: </w:t>
      </w:r>
      <w:r>
        <w:rPr>
          <w:rFonts w:ascii="Calibri" w:hAnsi="Calibri"/>
          <w:b w:val="0"/>
          <w:color w:val="24323A"/>
        </w:rPr>
        <w:t xml:space="preserve">Use potential and capacity—not equal account counts; publish exception rules. </w:t>
      </w:r>
      <w:hyperlink r:id="rId13">
        <w:r>
          <w:rPr>
            <w:color w:val="1E4C86"/>
            <w:u w:val="single"/>
          </w:rPr>
          <w:t>Open spreadsheet</w:t>
        </w:r>
      </w:hyperlink>
    </w:p>
    <w:p>
      <w:pPr>
        <w:pStyle w:val="Heading2"/>
      </w:pPr>
      <w:r>
        <w:t>Capacity plan</w:t>
      </w:r>
    </w:p>
    <w:p>
      <w:r>
        <w:rPr>
          <w:rFonts w:ascii="Calibri" w:hAnsi="Calibri"/>
          <w:b/>
          <w:color w:val="132E3A"/>
        </w:rPr>
        <w:t xml:space="preserve">Purpose: </w:t>
      </w:r>
      <w:r>
        <w:rPr>
          <w:rFonts w:ascii="Calibri" w:hAnsi="Calibri"/>
          <w:b w:val="0"/>
          <w:color w:val="24323A"/>
        </w:rPr>
        <w:t xml:space="preserve">Translate headcount into productive selling capacity. </w:t>
      </w:r>
      <w:r>
        <w:rPr>
          <w:rFonts w:ascii="Calibri" w:hAnsi="Calibri"/>
          <w:b/>
          <w:color w:val="132E3A"/>
        </w:rPr>
        <w:t xml:space="preserve">Owner: </w:t>
      </w:r>
      <w:r>
        <w:rPr>
          <w:rFonts w:ascii="Calibri" w:hAnsi="Calibri"/>
          <w:b w:val="0"/>
          <w:color w:val="24323A"/>
        </w:rPr>
        <w:t xml:space="preserve">Sales + Finance. </w:t>
      </w:r>
      <w:r>
        <w:rPr>
          <w:rFonts w:ascii="Calibri" w:hAnsi="Calibri"/>
          <w:b/>
          <w:color w:val="132E3A"/>
        </w:rPr>
        <w:t xml:space="preserve">Best practice: </w:t>
      </w:r>
      <w:r>
        <w:rPr>
          <w:rFonts w:ascii="Calibri" w:hAnsi="Calibri"/>
          <w:b w:val="0"/>
          <w:color w:val="24323A"/>
        </w:rPr>
        <w:t xml:space="preserve">Model hiring by start month, ramp curves, attrition and manager capacity. </w:t>
      </w:r>
      <w:hyperlink r:id="rId14">
        <w:r>
          <w:rPr>
            <w:color w:val="1E4C86"/>
            <w:u w:val="single"/>
          </w:rPr>
          <w:t>Open spreadsheet</w:t>
        </w:r>
      </w:hyperlink>
    </w:p>
    <w:p>
      <w:pPr>
        <w:pStyle w:val="Heading2"/>
      </w:pPr>
      <w:r>
        <w:t>Pipeline plan</w:t>
      </w:r>
    </w:p>
    <w:p>
      <w:r>
        <w:rPr>
          <w:rFonts w:ascii="Calibri" w:hAnsi="Calibri"/>
          <w:b/>
          <w:color w:val="132E3A"/>
        </w:rPr>
        <w:t xml:space="preserve">Purpose: </w:t>
      </w:r>
      <w:r>
        <w:rPr>
          <w:rFonts w:ascii="Calibri" w:hAnsi="Calibri"/>
          <w:b w:val="0"/>
          <w:color w:val="24323A"/>
        </w:rPr>
        <w:t xml:space="preserve">Set pipeline creation and coverage requirements by segment, motion and close period. </w:t>
      </w:r>
      <w:r>
        <w:rPr>
          <w:rFonts w:ascii="Calibri" w:hAnsi="Calibri"/>
          <w:b/>
          <w:color w:val="132E3A"/>
        </w:rPr>
        <w:t xml:space="preserve">Owner: </w:t>
      </w:r>
      <w:r>
        <w:rPr>
          <w:rFonts w:ascii="Calibri" w:hAnsi="Calibri"/>
          <w:b w:val="0"/>
          <w:color w:val="24323A"/>
        </w:rPr>
        <w:t xml:space="preserve">CRO + RevOps. </w:t>
      </w:r>
      <w:r>
        <w:rPr>
          <w:rFonts w:ascii="Calibri" w:hAnsi="Calibri"/>
          <w:b/>
          <w:color w:val="132E3A"/>
        </w:rPr>
        <w:t xml:space="preserve">Best practice: </w:t>
      </w:r>
      <w:r>
        <w:rPr>
          <w:rFonts w:ascii="Calibri" w:hAnsi="Calibri"/>
          <w:b w:val="0"/>
          <w:color w:val="24323A"/>
        </w:rPr>
        <w:t xml:space="preserve">Use stage conversion and timing; distinguish gross pipeline from qualified pipeline. </w:t>
      </w:r>
      <w:hyperlink r:id="rId15">
        <w:r>
          <w:rPr>
            <w:color w:val="1E4C86"/>
            <w:u w:val="single"/>
          </w:rPr>
          <w:t>Open spreadsheet</w:t>
        </w:r>
      </w:hyperlink>
    </w:p>
    <w:p>
      <w:pPr>
        <w:pStyle w:val="Heading2"/>
      </w:pPr>
      <w:r>
        <w:t>Marketing plan</w:t>
      </w:r>
    </w:p>
    <w:p>
      <w:r>
        <w:rPr>
          <w:rFonts w:ascii="Calibri" w:hAnsi="Calibri"/>
          <w:b/>
          <w:color w:val="132E3A"/>
        </w:rPr>
        <w:t xml:space="preserve">Purpose: </w:t>
      </w:r>
      <w:r>
        <w:rPr>
          <w:rFonts w:ascii="Calibri" w:hAnsi="Calibri"/>
          <w:b w:val="0"/>
          <w:color w:val="24323A"/>
        </w:rPr>
        <w:t xml:space="preserve">Allocate source targets and spend to achievable funnel economics. </w:t>
      </w:r>
      <w:r>
        <w:rPr>
          <w:rFonts w:ascii="Calibri" w:hAnsi="Calibri"/>
          <w:b/>
          <w:color w:val="132E3A"/>
        </w:rPr>
        <w:t xml:space="preserve">Owner: </w:t>
      </w:r>
      <w:r>
        <w:rPr>
          <w:rFonts w:ascii="Calibri" w:hAnsi="Calibri"/>
          <w:b w:val="0"/>
          <w:color w:val="24323A"/>
        </w:rPr>
        <w:t xml:space="preserve">CMO. </w:t>
      </w:r>
      <w:r>
        <w:rPr>
          <w:rFonts w:ascii="Calibri" w:hAnsi="Calibri"/>
          <w:b/>
          <w:color w:val="132E3A"/>
        </w:rPr>
        <w:t xml:space="preserve">Best practice: </w:t>
      </w:r>
      <w:r>
        <w:rPr>
          <w:rFonts w:ascii="Calibri" w:hAnsi="Calibri"/>
          <w:b w:val="0"/>
          <w:color w:val="24323A"/>
        </w:rPr>
        <w:t xml:space="preserve">Use cohort conversion and lag; keep sourced, influenced and accepted definitions distinct. </w:t>
      </w:r>
      <w:hyperlink r:id="rId16">
        <w:r>
          <w:rPr>
            <w:color w:val="1E4C86"/>
            <w:u w:val="single"/>
          </w:rPr>
          <w:t>Open spreadsheet</w:t>
        </w:r>
      </w:hyperlink>
    </w:p>
    <w:p>
      <w:pPr>
        <w:pStyle w:val="Heading2"/>
      </w:pPr>
      <w:r>
        <w:t>Quota allocation</w:t>
      </w:r>
    </w:p>
    <w:p>
      <w:r>
        <w:rPr>
          <w:rFonts w:ascii="Calibri" w:hAnsi="Calibri"/>
          <w:b/>
          <w:color w:val="132E3A"/>
        </w:rPr>
        <w:t xml:space="preserve">Purpose: </w:t>
      </w:r>
      <w:r>
        <w:rPr>
          <w:rFonts w:ascii="Calibri" w:hAnsi="Calibri"/>
          <w:b w:val="0"/>
          <w:color w:val="24323A"/>
        </w:rPr>
        <w:t xml:space="preserve">Allocate an achievable quota pool with explicit overlays and relief rules. </w:t>
      </w:r>
      <w:r>
        <w:rPr>
          <w:rFonts w:ascii="Calibri" w:hAnsi="Calibri"/>
          <w:b/>
          <w:color w:val="132E3A"/>
        </w:rPr>
        <w:t xml:space="preserve">Owner: </w:t>
      </w:r>
      <w:r>
        <w:rPr>
          <w:rFonts w:ascii="Calibri" w:hAnsi="Calibri"/>
          <w:b w:val="0"/>
          <w:color w:val="24323A"/>
        </w:rPr>
        <w:t xml:space="preserve">CRO + Finance. </w:t>
      </w:r>
      <w:r>
        <w:rPr>
          <w:rFonts w:ascii="Calibri" w:hAnsi="Calibri"/>
          <w:b/>
          <w:color w:val="132E3A"/>
        </w:rPr>
        <w:t xml:space="preserve">Best practice: </w:t>
      </w:r>
      <w:r>
        <w:rPr>
          <w:rFonts w:ascii="Calibri" w:hAnsi="Calibri"/>
          <w:b w:val="0"/>
          <w:color w:val="24323A"/>
        </w:rPr>
        <w:t xml:space="preserve">Back-test attainment distribution and reconcile quota to capacity and target. </w:t>
      </w:r>
      <w:hyperlink r:id="rId17">
        <w:r>
          <w:rPr>
            <w:color w:val="1E4C86"/>
            <w:u w:val="single"/>
          </w:rPr>
          <w:t>Open spreadsheet</w:t>
        </w:r>
      </w:hyperlink>
    </w:p>
    <w:p>
      <w:pPr>
        <w:pStyle w:val="Heading2"/>
      </w:pPr>
      <w:r>
        <w:t>Compensation design</w:t>
      </w:r>
    </w:p>
    <w:p>
      <w:r>
        <w:rPr>
          <w:rFonts w:ascii="Calibri" w:hAnsi="Calibri"/>
          <w:b/>
          <w:color w:val="132E3A"/>
        </w:rPr>
        <w:t xml:space="preserve">Purpose: </w:t>
      </w:r>
      <w:r>
        <w:rPr>
          <w:rFonts w:ascii="Calibri" w:hAnsi="Calibri"/>
          <w:b w:val="0"/>
          <w:color w:val="24323A"/>
        </w:rPr>
        <w:t xml:space="preserve">Align eligible roles, measures, crediting and payout economics to job influence. </w:t>
      </w:r>
      <w:r>
        <w:rPr>
          <w:rFonts w:ascii="Calibri" w:hAnsi="Calibri"/>
          <w:b/>
          <w:color w:val="132E3A"/>
        </w:rPr>
        <w:t xml:space="preserve">Owner: </w:t>
      </w:r>
      <w:r>
        <w:rPr>
          <w:rFonts w:ascii="Calibri" w:hAnsi="Calibri"/>
          <w:b w:val="0"/>
          <w:color w:val="24323A"/>
        </w:rPr>
        <w:t xml:space="preserve">CRO + HR + Finance. </w:t>
      </w:r>
      <w:r>
        <w:rPr>
          <w:rFonts w:ascii="Calibri" w:hAnsi="Calibri"/>
          <w:b/>
          <w:color w:val="132E3A"/>
        </w:rPr>
        <w:t xml:space="preserve">Best practice: </w:t>
      </w:r>
      <w:r>
        <w:rPr>
          <w:rFonts w:ascii="Calibri" w:hAnsi="Calibri"/>
          <w:b w:val="0"/>
          <w:color w:val="24323A"/>
        </w:rPr>
        <w:t xml:space="preserve">Keep measures few and controllable; model cost before launch; document disputes. </w:t>
      </w:r>
      <w:hyperlink r:id="rId18">
        <w:r>
          <w:rPr>
            <w:color w:val="1E4C86"/>
            <w:u w:val="single"/>
          </w:rPr>
          <w:t>Open spreadsheet</w:t>
        </w:r>
      </w:hyperlink>
    </w:p>
    <w:p>
      <w:pPr>
        <w:pStyle w:val="Heading2"/>
      </w:pPr>
      <w:r>
        <w:t>Forecast model</w:t>
      </w:r>
    </w:p>
    <w:p>
      <w:r>
        <w:rPr>
          <w:rFonts w:ascii="Calibri" w:hAnsi="Calibri"/>
          <w:b/>
          <w:color w:val="132E3A"/>
        </w:rPr>
        <w:t xml:space="preserve">Purpose: </w:t>
      </w:r>
      <w:r>
        <w:rPr>
          <w:rFonts w:ascii="Calibri" w:hAnsi="Calibri"/>
          <w:b w:val="0"/>
          <w:color w:val="24323A"/>
        </w:rPr>
        <w:t xml:space="preserve">Define evidence-based categories and forecast hygiene. </w:t>
      </w:r>
      <w:r>
        <w:rPr>
          <w:rFonts w:ascii="Calibri" w:hAnsi="Calibri"/>
          <w:b/>
          <w:color w:val="132E3A"/>
        </w:rPr>
        <w:t xml:space="preserve">Owner: </w:t>
      </w:r>
      <w:r>
        <w:rPr>
          <w:rFonts w:ascii="Calibri" w:hAnsi="Calibri"/>
          <w:b w:val="0"/>
          <w:color w:val="24323A"/>
        </w:rPr>
        <w:t xml:space="preserve">Sales leadership. </w:t>
      </w:r>
      <w:r>
        <w:rPr>
          <w:rFonts w:ascii="Calibri" w:hAnsi="Calibri"/>
          <w:b/>
          <w:color w:val="132E3A"/>
        </w:rPr>
        <w:t xml:space="preserve">Best practice: </w:t>
      </w:r>
      <w:r>
        <w:rPr>
          <w:rFonts w:ascii="Calibri" w:hAnsi="Calibri"/>
          <w:b w:val="0"/>
          <w:color w:val="24323A"/>
        </w:rPr>
        <w:t xml:space="preserve">Use stage age, entry timestamps, next steps, close plan and inspection cadence. </w:t>
      </w:r>
      <w:hyperlink r:id="rId19">
        <w:r>
          <w:rPr>
            <w:color w:val="1E4C86"/>
            <w:u w:val="single"/>
          </w:rPr>
          <w:t>Open spreadsheet</w:t>
        </w:r>
      </w:hyperlink>
    </w:p>
    <w:p>
      <w:pPr>
        <w:pStyle w:val="Heading2"/>
      </w:pPr>
      <w:r>
        <w:t>Executive dashboard</w:t>
      </w:r>
    </w:p>
    <w:p>
      <w:r>
        <w:rPr>
          <w:rFonts w:ascii="Calibri" w:hAnsi="Calibri"/>
          <w:b/>
          <w:color w:val="132E3A"/>
        </w:rPr>
        <w:t xml:space="preserve">Purpose: </w:t>
      </w:r>
      <w:r>
        <w:rPr>
          <w:rFonts w:ascii="Calibri" w:hAnsi="Calibri"/>
          <w:b w:val="0"/>
          <w:color w:val="24323A"/>
        </w:rPr>
        <w:t xml:space="preserve">Create one operating view with decisions and owners. </w:t>
      </w:r>
      <w:r>
        <w:rPr>
          <w:rFonts w:ascii="Calibri" w:hAnsi="Calibri"/>
          <w:b/>
          <w:color w:val="132E3A"/>
        </w:rPr>
        <w:t xml:space="preserve">Owner: </w:t>
      </w:r>
      <w:r>
        <w:rPr>
          <w:rFonts w:ascii="Calibri" w:hAnsi="Calibri"/>
          <w:b w:val="0"/>
          <w:color w:val="24323A"/>
        </w:rPr>
        <w:t xml:space="preserve">CEO + CRO. </w:t>
      </w:r>
      <w:r>
        <w:rPr>
          <w:rFonts w:ascii="Calibri" w:hAnsi="Calibri"/>
          <w:b/>
          <w:color w:val="132E3A"/>
        </w:rPr>
        <w:t xml:space="preserve">Best practice: </w:t>
      </w:r>
      <w:r>
        <w:rPr>
          <w:rFonts w:ascii="Calibri" w:hAnsi="Calibri"/>
          <w:b w:val="0"/>
          <w:color w:val="24323A"/>
        </w:rPr>
        <w:t xml:space="preserve">Show target, actual, forecast, pipeline, capacity, conversion and risks together. </w:t>
      </w:r>
      <w:hyperlink r:id="rId20">
        <w:r>
          <w:rPr>
            <w:color w:val="1E4C86"/>
            <w:u w:val="single"/>
          </w:rPr>
          <w:t>Open spreadsheet</w:t>
        </w:r>
      </w:hyperlink>
    </w:p>
    <w:p>
      <w:r>
        <w:br w:type="page"/>
      </w:r>
    </w:p>
    <w:p>
      <w:pPr>
        <w:pStyle w:val="Heading1"/>
      </w:pPr>
      <w:r>
        <w:t>4. Data, definitions, and quality controls</w:t>
      </w:r>
    </w:p>
    <w:p>
      <w:r>
        <w:t>The model is only as reliable as its event history and shared definitions. Establish the planning data contract before targets are negotiated.</w:t>
      </w:r>
    </w:p>
    <w:tbl>
      <w:tblPr>
        <w:tblStyle w:val="TableGrid"/>
        <w:tblW w:type="auto" w:w="0"/>
        <w:jc w:val="center"/>
        <w:tblLayout w:type="fixed"/>
        <w:tblLook w:firstColumn="1" w:firstRow="1" w:lastColumn="0" w:lastRow="0" w:noHBand="0" w:noVBand="1" w:val="04A0"/>
      </w:tblPr>
      <w:tblGrid>
        <w:gridCol w:w="3293"/>
        <w:gridCol w:w="3293"/>
        <w:gridCol w:w="3293"/>
      </w:tblGrid>
      <w:tr>
        <w:tc>
          <w:tcPr>
            <w:tcW w:type="dxa" w:w="1512"/>
            <w:vAlign w:val="center"/>
            <w:tcMar>
              <w:top w:w="80" w:type="dxa"/>
              <w:start w:w="120" w:type="dxa"/>
              <w:bottom w:w="80" w:type="dxa"/>
              <w:end w:w="120" w:type="dxa"/>
            </w:tcMar>
            <w:shd w:fill="132E3A"/>
          </w:tcPr>
          <w:p>
            <w:pPr>
              <w:spacing w:after="0"/>
            </w:pPr>
            <w:r/>
            <w:r>
              <w:rPr>
                <w:rFonts w:ascii="Calibri" w:hAnsi="Calibri"/>
                <w:b/>
                <w:color w:val="FFFFFF"/>
                <w:sz w:val="15"/>
              </w:rPr>
              <w:t>DOMAIN</w:t>
            </w:r>
          </w:p>
        </w:tc>
        <w:tc>
          <w:tcPr>
            <w:tcW w:type="dxa" w:w="5256"/>
            <w:vAlign w:val="center"/>
            <w:tcMar>
              <w:top w:w="80" w:type="dxa"/>
              <w:start w:w="120" w:type="dxa"/>
              <w:bottom w:w="80" w:type="dxa"/>
              <w:end w:w="120" w:type="dxa"/>
            </w:tcMar>
            <w:shd w:fill="132E3A"/>
          </w:tcPr>
          <w:p>
            <w:pPr>
              <w:spacing w:after="0"/>
            </w:pPr>
            <w:r/>
            <w:r>
              <w:rPr>
                <w:rFonts w:ascii="Calibri" w:hAnsi="Calibri"/>
                <w:b/>
                <w:color w:val="FFFFFF"/>
                <w:sz w:val="15"/>
              </w:rPr>
              <w:t>REQUIRED FIELDS / EVENTS</w:t>
            </w:r>
          </w:p>
        </w:tc>
        <w:tc>
          <w:tcPr>
            <w:tcW w:type="dxa" w:w="2880"/>
            <w:vAlign w:val="center"/>
            <w:tcMar>
              <w:top w:w="80" w:type="dxa"/>
              <w:start w:w="120" w:type="dxa"/>
              <w:bottom w:w="80" w:type="dxa"/>
              <w:end w:w="120" w:type="dxa"/>
            </w:tcMar>
            <w:shd w:fill="132E3A"/>
          </w:tcPr>
          <w:p>
            <w:pPr>
              <w:spacing w:after="0"/>
            </w:pPr>
            <w:r/>
            <w:r>
              <w:rPr>
                <w:rFonts w:ascii="Calibri" w:hAnsi="Calibri"/>
                <w:b/>
                <w:color w:val="FFFFFF"/>
                <w:sz w:val="15"/>
              </w:rPr>
              <w:t>CONTROL</w:t>
            </w:r>
          </w:p>
        </w:tc>
      </w:tr>
      <w:tr>
        <w:tc>
          <w:tcPr>
            <w:tcW w:type="dxa" w:w="1512"/>
            <w:vAlign w:val="center"/>
            <w:tcMar>
              <w:top w:w="80" w:type="dxa"/>
              <w:start w:w="120" w:type="dxa"/>
              <w:bottom w:w="80" w:type="dxa"/>
              <w:end w:w="120" w:type="dxa"/>
            </w:tcMar>
            <w:shd w:fill="FFFFFF"/>
          </w:tcPr>
          <w:p>
            <w:pPr>
              <w:spacing w:after="0"/>
            </w:pPr>
            <w:r/>
            <w:r>
              <w:rPr>
                <w:rFonts w:ascii="Calibri" w:hAnsi="Calibri"/>
                <w:b w:val="0"/>
                <w:color w:val="24323A"/>
                <w:sz w:val="14"/>
              </w:rPr>
              <w:t>Account / firmographic</w:t>
            </w:r>
          </w:p>
        </w:tc>
        <w:tc>
          <w:tcPr>
            <w:tcW w:type="dxa" w:w="5256"/>
            <w:vAlign w:val="center"/>
            <w:tcMar>
              <w:top w:w="80" w:type="dxa"/>
              <w:start w:w="120" w:type="dxa"/>
              <w:bottom w:w="80" w:type="dxa"/>
              <w:end w:w="120" w:type="dxa"/>
            </w:tcMar>
            <w:shd w:fill="FFFFFF"/>
          </w:tcPr>
          <w:p>
            <w:pPr>
              <w:spacing w:after="0"/>
            </w:pPr>
            <w:r/>
            <w:r>
              <w:rPr>
                <w:rFonts w:ascii="Calibri" w:hAnsi="Calibri"/>
                <w:b w:val="0"/>
                <w:color w:val="24323A"/>
                <w:sz w:val="14"/>
              </w:rPr>
              <w:t>Employee band, annual revenue, industry, geography, ownership, growth, funding, installed technology, business model, compliance intensity</w:t>
            </w:r>
          </w:p>
        </w:tc>
        <w:tc>
          <w:tcPr>
            <w:tcW w:type="dxa" w:w="2880"/>
            <w:vAlign w:val="center"/>
            <w:tcMar>
              <w:top w:w="80" w:type="dxa"/>
              <w:start w:w="120" w:type="dxa"/>
              <w:bottom w:w="80" w:type="dxa"/>
              <w:end w:w="120" w:type="dxa"/>
            </w:tcMar>
            <w:shd w:fill="FFFFFF"/>
          </w:tcPr>
          <w:p>
            <w:pPr>
              <w:spacing w:after="0"/>
            </w:pPr>
            <w:r/>
            <w:r>
              <w:rPr>
                <w:rFonts w:ascii="Calibri" w:hAnsi="Calibri"/>
                <w:b w:val="0"/>
                <w:color w:val="24323A"/>
                <w:sz w:val="14"/>
              </w:rPr>
              <w:t>Null rate, allowed values, source and refresh date</w:t>
            </w:r>
          </w:p>
        </w:tc>
      </w:tr>
      <w:tr>
        <w:tc>
          <w:tcPr>
            <w:tcW w:type="dxa" w:w="1512"/>
            <w:vAlign w:val="center"/>
            <w:tcMar>
              <w:top w:w="80" w:type="dxa"/>
              <w:start w:w="120" w:type="dxa"/>
              <w:bottom w:w="80" w:type="dxa"/>
              <w:end w:w="120" w:type="dxa"/>
            </w:tcMar>
            <w:shd w:fill="F4F7F8"/>
          </w:tcPr>
          <w:p>
            <w:pPr>
              <w:spacing w:after="0"/>
            </w:pPr>
            <w:r/>
            <w:r>
              <w:rPr>
                <w:rFonts w:ascii="Calibri" w:hAnsi="Calibri"/>
                <w:b w:val="0"/>
                <w:color w:val="24323A"/>
                <w:sz w:val="14"/>
              </w:rPr>
              <w:t>Opportunity</w:t>
            </w:r>
          </w:p>
        </w:tc>
        <w:tc>
          <w:tcPr>
            <w:tcW w:type="dxa" w:w="5256"/>
            <w:vAlign w:val="center"/>
            <w:tcMar>
              <w:top w:w="80" w:type="dxa"/>
              <w:start w:w="120" w:type="dxa"/>
              <w:bottom w:w="80" w:type="dxa"/>
              <w:end w:w="120" w:type="dxa"/>
            </w:tcMar>
            <w:shd w:fill="F4F7F8"/>
          </w:tcPr>
          <w:p>
            <w:pPr>
              <w:spacing w:after="0"/>
            </w:pPr>
            <w:r/>
            <w:r>
              <w:rPr>
                <w:rFonts w:ascii="Calibri" w:hAnsi="Calibri"/>
                <w:b w:val="0"/>
                <w:color w:val="24323A"/>
                <w:sz w:val="14"/>
              </w:rPr>
              <w:t>Amount, ARR, segment, motion, source, owner, created/close date, stage, probability, product, competitors</w:t>
            </w:r>
          </w:p>
        </w:tc>
        <w:tc>
          <w:tcPr>
            <w:tcW w:type="dxa" w:w="2880"/>
            <w:vAlign w:val="center"/>
            <w:tcMar>
              <w:top w:w="80" w:type="dxa"/>
              <w:start w:w="120" w:type="dxa"/>
              <w:bottom w:w="80" w:type="dxa"/>
              <w:end w:w="120" w:type="dxa"/>
            </w:tcMar>
            <w:shd w:fill="F4F7F8"/>
          </w:tcPr>
          <w:p>
            <w:pPr>
              <w:spacing w:after="0"/>
            </w:pPr>
            <w:r/>
            <w:r>
              <w:rPr>
                <w:rFonts w:ascii="Calibri" w:hAnsi="Calibri"/>
                <w:b w:val="0"/>
                <w:color w:val="24323A"/>
                <w:sz w:val="14"/>
              </w:rPr>
              <w:t>Duplicate, amount and close-date tests</w:t>
            </w:r>
          </w:p>
        </w:tc>
      </w:tr>
      <w:tr>
        <w:tc>
          <w:tcPr>
            <w:tcW w:type="dxa" w:w="1512"/>
            <w:vAlign w:val="center"/>
            <w:tcMar>
              <w:top w:w="80" w:type="dxa"/>
              <w:start w:w="120" w:type="dxa"/>
              <w:bottom w:w="80" w:type="dxa"/>
              <w:end w:w="120" w:type="dxa"/>
            </w:tcMar>
            <w:shd w:fill="FFFFFF"/>
          </w:tcPr>
          <w:p>
            <w:pPr>
              <w:spacing w:after="0"/>
            </w:pPr>
            <w:r/>
            <w:r>
              <w:rPr>
                <w:rFonts w:ascii="Calibri" w:hAnsi="Calibri"/>
                <w:b w:val="0"/>
                <w:color w:val="24323A"/>
                <w:sz w:val="14"/>
              </w:rPr>
              <w:t>Stage history</w:t>
            </w:r>
          </w:p>
        </w:tc>
        <w:tc>
          <w:tcPr>
            <w:tcW w:type="dxa" w:w="5256"/>
            <w:vAlign w:val="center"/>
            <w:tcMar>
              <w:top w:w="80" w:type="dxa"/>
              <w:start w:w="120" w:type="dxa"/>
              <w:bottom w:w="80" w:type="dxa"/>
              <w:end w:w="120" w:type="dxa"/>
            </w:tcMar>
            <w:shd w:fill="FFFFFF"/>
          </w:tcPr>
          <w:p>
            <w:pPr>
              <w:spacing w:after="0"/>
            </w:pPr>
            <w:r/>
            <w:r>
              <w:rPr>
                <w:rFonts w:ascii="Calibri" w:hAnsi="Calibri"/>
                <w:b w:val="0"/>
                <w:color w:val="24323A"/>
                <w:sz w:val="14"/>
              </w:rPr>
              <w:t>Entry timestamp for every stage, exit timestamp, prior stage, next stage, actor</w:t>
            </w:r>
          </w:p>
        </w:tc>
        <w:tc>
          <w:tcPr>
            <w:tcW w:type="dxa" w:w="2880"/>
            <w:vAlign w:val="center"/>
            <w:tcMar>
              <w:top w:w="80" w:type="dxa"/>
              <w:start w:w="120" w:type="dxa"/>
              <w:bottom w:w="80" w:type="dxa"/>
              <w:end w:w="120" w:type="dxa"/>
            </w:tcMar>
            <w:shd w:fill="FFFFFF"/>
          </w:tcPr>
          <w:p>
            <w:pPr>
              <w:spacing w:after="0"/>
            </w:pPr>
            <w:r/>
            <w:r>
              <w:rPr>
                <w:rFonts w:ascii="Calibri" w:hAnsi="Calibri"/>
                <w:b w:val="0"/>
                <w:color w:val="24323A"/>
                <w:sz w:val="14"/>
              </w:rPr>
              <w:t>No negative duration; skipped-stage flag; immutable history</w:t>
            </w:r>
          </w:p>
        </w:tc>
      </w:tr>
      <w:tr>
        <w:tc>
          <w:tcPr>
            <w:tcW w:type="dxa" w:w="1512"/>
            <w:vAlign w:val="center"/>
            <w:tcMar>
              <w:top w:w="80" w:type="dxa"/>
              <w:start w:w="120" w:type="dxa"/>
              <w:bottom w:w="80" w:type="dxa"/>
              <w:end w:w="120" w:type="dxa"/>
            </w:tcMar>
            <w:shd w:fill="F4F7F8"/>
          </w:tcPr>
          <w:p>
            <w:pPr>
              <w:spacing w:after="0"/>
            </w:pPr>
            <w:r/>
            <w:r>
              <w:rPr>
                <w:rFonts w:ascii="Calibri" w:hAnsi="Calibri"/>
                <w:b w:val="0"/>
                <w:color w:val="24323A"/>
                <w:sz w:val="14"/>
              </w:rPr>
              <w:t>Outcome</w:t>
            </w:r>
          </w:p>
        </w:tc>
        <w:tc>
          <w:tcPr>
            <w:tcW w:type="dxa" w:w="5256"/>
            <w:vAlign w:val="center"/>
            <w:tcMar>
              <w:top w:w="80" w:type="dxa"/>
              <w:start w:w="120" w:type="dxa"/>
              <w:bottom w:w="80" w:type="dxa"/>
              <w:end w:w="120" w:type="dxa"/>
            </w:tcMar>
            <w:shd w:fill="F4F7F8"/>
          </w:tcPr>
          <w:p>
            <w:pPr>
              <w:spacing w:after="0"/>
            </w:pPr>
            <w:r/>
            <w:r>
              <w:rPr>
                <w:rFonts w:ascii="Calibri" w:hAnsi="Calibri"/>
                <w:b w:val="0"/>
                <w:color w:val="24323A"/>
                <w:sz w:val="14"/>
              </w:rPr>
              <w:t>Closed-won/lost timestamp, loss reason, subreason, competitor, no-decision, notes</w:t>
            </w:r>
          </w:p>
        </w:tc>
        <w:tc>
          <w:tcPr>
            <w:tcW w:type="dxa" w:w="2880"/>
            <w:vAlign w:val="center"/>
            <w:tcMar>
              <w:top w:w="80" w:type="dxa"/>
              <w:start w:w="120" w:type="dxa"/>
              <w:bottom w:w="80" w:type="dxa"/>
              <w:end w:w="120" w:type="dxa"/>
            </w:tcMar>
            <w:shd w:fill="F4F7F8"/>
          </w:tcPr>
          <w:p>
            <w:pPr>
              <w:spacing w:after="0"/>
            </w:pPr>
            <w:r/>
            <w:r>
              <w:rPr>
                <w:rFonts w:ascii="Calibri" w:hAnsi="Calibri"/>
                <w:b w:val="0"/>
                <w:color w:val="24323A"/>
                <w:sz w:val="14"/>
              </w:rPr>
              <w:t>Required controlled taxonomy and manager review</w:t>
            </w:r>
          </w:p>
        </w:tc>
      </w:tr>
      <w:tr>
        <w:tc>
          <w:tcPr>
            <w:tcW w:type="dxa" w:w="1512"/>
            <w:vAlign w:val="center"/>
            <w:tcMar>
              <w:top w:w="80" w:type="dxa"/>
              <w:start w:w="120" w:type="dxa"/>
              <w:bottom w:w="80" w:type="dxa"/>
              <w:end w:w="120" w:type="dxa"/>
            </w:tcMar>
            <w:shd w:fill="FFFFFF"/>
          </w:tcPr>
          <w:p>
            <w:pPr>
              <w:spacing w:after="0"/>
            </w:pPr>
            <w:r/>
            <w:r>
              <w:rPr>
                <w:rFonts w:ascii="Calibri" w:hAnsi="Calibri"/>
                <w:b w:val="0"/>
                <w:color w:val="24323A"/>
                <w:sz w:val="14"/>
              </w:rPr>
              <w:t>People / capacity</w:t>
            </w:r>
          </w:p>
        </w:tc>
        <w:tc>
          <w:tcPr>
            <w:tcW w:type="dxa" w:w="5256"/>
            <w:vAlign w:val="center"/>
            <w:tcMar>
              <w:top w:w="80" w:type="dxa"/>
              <w:start w:w="120" w:type="dxa"/>
              <w:bottom w:w="80" w:type="dxa"/>
              <w:end w:w="120" w:type="dxa"/>
            </w:tcMar>
            <w:shd w:fill="FFFFFF"/>
          </w:tcPr>
          <w:p>
            <w:pPr>
              <w:spacing w:after="0"/>
            </w:pPr>
            <w:r/>
            <w:r>
              <w:rPr>
                <w:rFonts w:ascii="Calibri" w:hAnsi="Calibri"/>
                <w:b w:val="0"/>
                <w:color w:val="24323A"/>
                <w:sz w:val="14"/>
              </w:rPr>
              <w:t>Role, segment, territory, manager, hire/start date, ramp, leave, termination</w:t>
            </w:r>
          </w:p>
        </w:tc>
        <w:tc>
          <w:tcPr>
            <w:tcW w:type="dxa" w:w="2880"/>
            <w:vAlign w:val="center"/>
            <w:tcMar>
              <w:top w:w="80" w:type="dxa"/>
              <w:start w:w="120" w:type="dxa"/>
              <w:bottom w:w="80" w:type="dxa"/>
              <w:end w:w="120" w:type="dxa"/>
            </w:tcMar>
            <w:shd w:fill="FFFFFF"/>
          </w:tcPr>
          <w:p>
            <w:pPr>
              <w:spacing w:after="0"/>
            </w:pPr>
            <w:r/>
            <w:r>
              <w:rPr>
                <w:rFonts w:ascii="Calibri" w:hAnsi="Calibri"/>
                <w:b w:val="0"/>
                <w:color w:val="24323A"/>
                <w:sz w:val="14"/>
              </w:rPr>
              <w:t>Effective-dated roster and monthly snapshot</w:t>
            </w:r>
          </w:p>
        </w:tc>
      </w:tr>
      <w:tr>
        <w:tc>
          <w:tcPr>
            <w:tcW w:type="dxa" w:w="1512"/>
            <w:vAlign w:val="center"/>
            <w:tcMar>
              <w:top w:w="80" w:type="dxa"/>
              <w:start w:w="120" w:type="dxa"/>
              <w:bottom w:w="80" w:type="dxa"/>
              <w:end w:w="120" w:type="dxa"/>
            </w:tcMar>
            <w:shd w:fill="F4F7F8"/>
          </w:tcPr>
          <w:p>
            <w:pPr>
              <w:spacing w:after="0"/>
            </w:pPr>
            <w:r/>
            <w:r>
              <w:rPr>
                <w:rFonts w:ascii="Calibri" w:hAnsi="Calibri"/>
                <w:b w:val="0"/>
                <w:color w:val="24323A"/>
                <w:sz w:val="14"/>
              </w:rPr>
              <w:t>Comp / crediting</w:t>
            </w:r>
          </w:p>
        </w:tc>
        <w:tc>
          <w:tcPr>
            <w:tcW w:type="dxa" w:w="5256"/>
            <w:vAlign w:val="center"/>
            <w:tcMar>
              <w:top w:w="80" w:type="dxa"/>
              <w:start w:w="120" w:type="dxa"/>
              <w:bottom w:w="80" w:type="dxa"/>
              <w:end w:w="120" w:type="dxa"/>
            </w:tcMar>
            <w:shd w:fill="F4F7F8"/>
          </w:tcPr>
          <w:p>
            <w:pPr>
              <w:spacing w:after="0"/>
            </w:pPr>
            <w:r/>
            <w:r>
              <w:rPr>
                <w:rFonts w:ascii="Calibri" w:hAnsi="Calibri"/>
                <w:b w:val="0"/>
                <w:color w:val="24323A"/>
                <w:sz w:val="14"/>
              </w:rPr>
              <w:t>Plan, measure, quota, credit amount, split, adjustment, approval, payout</w:t>
            </w:r>
          </w:p>
        </w:tc>
        <w:tc>
          <w:tcPr>
            <w:tcW w:type="dxa" w:w="2880"/>
            <w:vAlign w:val="center"/>
            <w:tcMar>
              <w:top w:w="80" w:type="dxa"/>
              <w:start w:w="120" w:type="dxa"/>
              <w:bottom w:w="80" w:type="dxa"/>
              <w:end w:w="120" w:type="dxa"/>
            </w:tcMar>
            <w:shd w:fill="F4F7F8"/>
          </w:tcPr>
          <w:p>
            <w:pPr>
              <w:spacing w:after="0"/>
            </w:pPr>
            <w:r/>
            <w:r>
              <w:rPr>
                <w:rFonts w:ascii="Calibri" w:hAnsi="Calibri"/>
                <w:b w:val="0"/>
                <w:color w:val="24323A"/>
                <w:sz w:val="14"/>
              </w:rPr>
              <w:t>Traceable source transaction and audit log</w:t>
            </w:r>
          </w:p>
        </w:tc>
      </w:tr>
    </w:tbl>
    <w:p>
      <w:pPr>
        <w:spacing w:after="0"/>
      </w:pPr>
    </w:p>
    <w:p>
      <w:pPr>
        <w:pStyle w:val="Heading2"/>
      </w:pPr>
      <w:r>
        <w:t>Metric definition minimum</w:t>
      </w:r>
    </w:p>
    <w:p>
      <w:pPr>
        <w:pStyle w:val="ListBullet"/>
        <w:spacing w:after="60"/>
      </w:pPr>
      <w:r>
        <w:t>Name and business question</w:t>
      </w:r>
    </w:p>
    <w:p>
      <w:pPr>
        <w:pStyle w:val="ListBullet"/>
        <w:spacing w:after="60"/>
      </w:pPr>
      <w:r>
        <w:t>Formula, grain and date logic</w:t>
      </w:r>
    </w:p>
    <w:p>
      <w:pPr>
        <w:pStyle w:val="ListBullet"/>
        <w:spacing w:after="60"/>
      </w:pPr>
      <w:r>
        <w:t>Inclusions, exclusions and edge cases</w:t>
      </w:r>
    </w:p>
    <w:p>
      <w:pPr>
        <w:pStyle w:val="ListBullet"/>
        <w:spacing w:after="60"/>
      </w:pPr>
      <w:r>
        <w:t>System of record and owner</w:t>
      </w:r>
    </w:p>
    <w:p>
      <w:pPr>
        <w:pStyle w:val="ListBullet"/>
        <w:spacing w:after="60"/>
      </w:pPr>
      <w:r>
        <w:t>Refresh cadence and acceptable latency</w:t>
      </w:r>
    </w:p>
    <w:p>
      <w:pPr>
        <w:pStyle w:val="ListBullet"/>
        <w:spacing w:after="60"/>
      </w:pPr>
      <w:r>
        <w:t>Example record and reconciliation test</w:t>
      </w:r>
    </w:p>
    <w:tbl>
      <w:tblPr>
        <w:tblW w:type="auto" w:w="0"/>
        <w:tblLayout w:type="fixed"/>
        <w:tblLook w:firstColumn="1" w:firstRow="1" w:lastColumn="0" w:lastRow="0" w:noHBand="0" w:noVBand="1" w:val="04A0"/>
      </w:tblPr>
      <w:tblGrid>
        <w:gridCol w:w="9878"/>
      </w:tblGrid>
      <w:tr>
        <w:tc>
          <w:tcPr>
            <w:tcW w:type="dxa" w:w="9878"/>
            <w:shd w:fill="E8EEF5"/>
            <w:tcMar>
              <w:top w:w="120" w:type="dxa"/>
              <w:start w:w="150" w:type="dxa"/>
              <w:bottom w:w="120" w:type="dxa"/>
              <w:end w:w="150" w:type="dxa"/>
            </w:tcMar>
          </w:tcPr>
          <w:p>
            <w:r/>
            <w:r>
              <w:rPr>
                <w:rFonts w:ascii="Calibri" w:hAnsi="Calibri"/>
                <w:b/>
                <w:color w:val="132E3A"/>
                <w:sz w:val="18"/>
              </w:rPr>
              <w:t xml:space="preserve">FORECAST AND FUNNEL NOTE  </w:t>
            </w:r>
            <w:r>
              <w:rPr>
                <w:rFonts w:ascii="Calibri" w:hAnsi="Calibri"/>
                <w:b w:val="0"/>
                <w:color w:val="24323A"/>
                <w:sz w:val="18"/>
              </w:rPr>
              <w:t>Stage conversion requires timestamped stage-entry history for every opportunity. A current-stage field cannot reconstruct stage-to-stage conversion or velocity.</w:t>
            </w:r>
          </w:p>
        </w:tc>
      </w:tr>
    </w:tbl>
    <w:p>
      <w:pPr>
        <w:spacing w:after="0"/>
      </w:pPr>
    </w:p>
    <w:p>
      <w:r>
        <w:br w:type="page"/>
      </w:r>
    </w:p>
    <w:p>
      <w:pPr>
        <w:pStyle w:val="Heading1"/>
      </w:pPr>
      <w:r>
        <w:t>5. Compensation design adequacy assessment</w:t>
      </w:r>
    </w:p>
    <w:tbl>
      <w:tblPr>
        <w:tblW w:type="auto" w:w="0"/>
        <w:tblLayout w:type="fixed"/>
        <w:tblLook w:firstColumn="1" w:firstRow="1" w:lastColumn="0" w:lastRow="0" w:noHBand="0" w:noVBand="1" w:val="04A0"/>
      </w:tblPr>
      <w:tblGrid>
        <w:gridCol w:w="9878"/>
      </w:tblGrid>
      <w:tr>
        <w:tc>
          <w:tcPr>
            <w:tcW w:type="dxa" w:w="9878"/>
            <w:shd w:fill="F7E9C6"/>
            <w:tcMar>
              <w:top w:w="120" w:type="dxa"/>
              <w:start w:w="150" w:type="dxa"/>
              <w:bottom w:w="120" w:type="dxa"/>
              <w:end w:w="150" w:type="dxa"/>
            </w:tcMar>
          </w:tcPr>
          <w:p>
            <w:r/>
            <w:r>
              <w:rPr>
                <w:rFonts w:ascii="Calibri" w:hAnsi="Calibri"/>
                <w:b/>
                <w:color w:val="132E3A"/>
                <w:sz w:val="18"/>
              </w:rPr>
              <w:t xml:space="preserve">ASSESSMENT  </w:t>
            </w:r>
            <w:r>
              <w:rPr>
                <w:rFonts w:ascii="Calibri" w:hAnsi="Calibri"/>
                <w:b w:val="0"/>
                <w:color w:val="24323A"/>
                <w:sz w:val="18"/>
              </w:rPr>
              <w:t>The original compensation model was useful as an alignment check, but it was not adequate as a complete plan-design tool. It tested quota pool, OTE, pay mix, leverage and accelerator economics; it did not fully specify the rules that determine who earns what, when, and why.</w:t>
            </w:r>
          </w:p>
        </w:tc>
      </w:tr>
    </w:tbl>
    <w:p>
      <w:pPr>
        <w:spacing w:after="0"/>
      </w:pPr>
    </w:p>
    <w:tbl>
      <w:tblPr>
        <w:tblStyle w:val="TableGrid"/>
        <w:tblW w:type="auto" w:w="0"/>
        <w:jc w:val="center"/>
        <w:tblLayout w:type="fixed"/>
        <w:tblLook w:firstColumn="1" w:firstRow="1" w:lastColumn="0" w:lastRow="0" w:noHBand="0" w:noVBand="1" w:val="04A0"/>
      </w:tblPr>
      <w:tblGrid>
        <w:gridCol w:w="2469"/>
        <w:gridCol w:w="2469"/>
        <w:gridCol w:w="2469"/>
        <w:gridCol w:w="2469"/>
      </w:tblGrid>
      <w:tr>
        <w:tc>
          <w:tcPr>
            <w:tcW w:type="dxa" w:w="1728"/>
            <w:vAlign w:val="center"/>
            <w:tcMar>
              <w:top w:w="80" w:type="dxa"/>
              <w:start w:w="120" w:type="dxa"/>
              <w:bottom w:w="80" w:type="dxa"/>
              <w:end w:w="120" w:type="dxa"/>
            </w:tcMar>
            <w:shd w:fill="132E3A"/>
          </w:tcPr>
          <w:p>
            <w:pPr>
              <w:spacing w:after="0"/>
            </w:pPr>
            <w:r/>
            <w:r>
              <w:rPr>
                <w:rFonts w:ascii="Calibri" w:hAnsi="Calibri"/>
                <w:b/>
                <w:color w:val="FFFFFF"/>
                <w:sz w:val="15"/>
              </w:rPr>
              <w:t>DESIGN LAYER</w:t>
            </w:r>
          </w:p>
        </w:tc>
        <w:tc>
          <w:tcPr>
            <w:tcW w:type="dxa" w:w="1440"/>
            <w:vAlign w:val="center"/>
            <w:tcMar>
              <w:top w:w="80" w:type="dxa"/>
              <w:start w:w="120" w:type="dxa"/>
              <w:bottom w:w="80" w:type="dxa"/>
              <w:end w:w="120" w:type="dxa"/>
            </w:tcMar>
            <w:shd w:fill="132E3A"/>
          </w:tcPr>
          <w:p>
            <w:pPr>
              <w:spacing w:after="0"/>
            </w:pPr>
            <w:r/>
            <w:r>
              <w:rPr>
                <w:rFonts w:ascii="Calibri" w:hAnsi="Calibri"/>
                <w:b/>
                <w:color w:val="FFFFFF"/>
                <w:sz w:val="15"/>
              </w:rPr>
              <w:t>PRIOR COVERAGE</w:t>
            </w:r>
          </w:p>
        </w:tc>
        <w:tc>
          <w:tcPr>
            <w:tcW w:type="dxa" w:w="4320"/>
            <w:vAlign w:val="center"/>
            <w:tcMar>
              <w:top w:w="80" w:type="dxa"/>
              <w:start w:w="120" w:type="dxa"/>
              <w:bottom w:w="80" w:type="dxa"/>
              <w:end w:w="120" w:type="dxa"/>
            </w:tcMar>
            <w:shd w:fill="132E3A"/>
          </w:tcPr>
          <w:p>
            <w:pPr>
              <w:spacing w:after="0"/>
            </w:pPr>
            <w:r/>
            <w:r>
              <w:rPr>
                <w:rFonts w:ascii="Calibri" w:hAnsi="Calibri"/>
                <w:b/>
                <w:color w:val="FFFFFF"/>
                <w:sz w:val="15"/>
              </w:rPr>
              <w:t>REQUIRED STANDARD</w:t>
            </w:r>
          </w:p>
        </w:tc>
        <w:tc>
          <w:tcPr>
            <w:tcW w:type="dxa" w:w="1440"/>
            <w:vAlign w:val="center"/>
            <w:tcMar>
              <w:top w:w="80" w:type="dxa"/>
              <w:start w:w="120" w:type="dxa"/>
              <w:bottom w:w="80" w:type="dxa"/>
              <w:end w:w="120" w:type="dxa"/>
            </w:tcMar>
            <w:shd w:fill="132E3A"/>
          </w:tcPr>
          <w:p>
            <w:pPr>
              <w:spacing w:after="0"/>
            </w:pPr>
            <w:r/>
            <w:r>
              <w:rPr>
                <w:rFonts w:ascii="Calibri" w:hAnsi="Calibri"/>
                <w:b/>
                <w:color w:val="FFFFFF"/>
                <w:sz w:val="15"/>
              </w:rPr>
              <w:t>STATUS NOW</w:t>
            </w:r>
          </w:p>
        </w:tc>
      </w:tr>
      <w:tr>
        <w:tc>
          <w:tcPr>
            <w:tcW w:type="dxa" w:w="1728"/>
            <w:vAlign w:val="center"/>
            <w:tcMar>
              <w:top w:w="80" w:type="dxa"/>
              <w:start w:w="120" w:type="dxa"/>
              <w:bottom w:w="80" w:type="dxa"/>
              <w:end w:w="120" w:type="dxa"/>
            </w:tcMar>
            <w:shd w:fill="FFFFFF"/>
          </w:tcPr>
          <w:p>
            <w:pPr>
              <w:spacing w:after="0"/>
            </w:pPr>
            <w:r/>
            <w:r>
              <w:rPr>
                <w:rFonts w:ascii="Calibri" w:hAnsi="Calibri"/>
                <w:b w:val="0"/>
                <w:color w:val="24323A"/>
                <w:sz w:val="14"/>
              </w:rPr>
              <w:t>Role architecture</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Partial</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Eligibility, mission, influence, pay mix, target incentive</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4F7F8"/>
          </w:tcPr>
          <w:p>
            <w:pPr>
              <w:spacing w:after="0"/>
            </w:pPr>
            <w:r/>
            <w:r>
              <w:rPr>
                <w:rFonts w:ascii="Calibri" w:hAnsi="Calibri"/>
                <w:b w:val="0"/>
                <w:color w:val="24323A"/>
                <w:sz w:val="14"/>
              </w:rPr>
              <w:t>Measures</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Partial</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1–3 controllable measures, weights, source, timing, quality gates</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FFFFF"/>
          </w:tcPr>
          <w:p>
            <w:pPr>
              <w:spacing w:after="0"/>
            </w:pPr>
            <w:r/>
            <w:r>
              <w:rPr>
                <w:rFonts w:ascii="Calibri" w:hAnsi="Calibri"/>
                <w:b w:val="0"/>
                <w:color w:val="24323A"/>
                <w:sz w:val="14"/>
              </w:rPr>
              <w:t>Crediting</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Gap</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Booking event, splits, overlays, clawbacks, renewals, FX, disputes</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4F7F8"/>
          </w:tcPr>
          <w:p>
            <w:pPr>
              <w:spacing w:after="0"/>
            </w:pPr>
            <w:r/>
            <w:r>
              <w:rPr>
                <w:rFonts w:ascii="Calibri" w:hAnsi="Calibri"/>
                <w:b w:val="0"/>
                <w:color w:val="24323A"/>
                <w:sz w:val="14"/>
              </w:rPr>
              <w:t>Payout curve</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Partial</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Threshold, target, marginal accelerators, cap policy, extremes</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Expanded</w:t>
            </w:r>
          </w:p>
        </w:tc>
      </w:tr>
      <w:tr>
        <w:tc>
          <w:tcPr>
            <w:tcW w:type="dxa" w:w="1728"/>
            <w:vAlign w:val="center"/>
            <w:tcMar>
              <w:top w:w="80" w:type="dxa"/>
              <w:start w:w="120" w:type="dxa"/>
              <w:bottom w:w="80" w:type="dxa"/>
              <w:end w:w="120" w:type="dxa"/>
            </w:tcMar>
            <w:shd w:fill="FFFFFF"/>
          </w:tcPr>
          <w:p>
            <w:pPr>
              <w:spacing w:after="0"/>
            </w:pPr>
            <w:r/>
            <w:r>
              <w:rPr>
                <w:rFonts w:ascii="Calibri" w:hAnsi="Calibri"/>
                <w:b w:val="0"/>
                <w:color w:val="24323A"/>
                <w:sz w:val="14"/>
              </w:rPr>
              <w:t>Ramp / draw</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Gap</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Quota relief, guarantee/draw, accelerator eligibility</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4F7F8"/>
          </w:tcPr>
          <w:p>
            <w:pPr>
              <w:spacing w:after="0"/>
            </w:pPr>
            <w:r/>
            <w:r>
              <w:rPr>
                <w:rFonts w:ascii="Calibri" w:hAnsi="Calibri"/>
                <w:b w:val="0"/>
                <w:color w:val="24323A"/>
                <w:sz w:val="14"/>
              </w:rPr>
              <w:t>Cost sensitivity</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Gap</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Attainment distribution, payout/bookings, 90th percentile exposure</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FFFFF"/>
          </w:tcPr>
          <w:p>
            <w:pPr>
              <w:spacing w:after="0"/>
            </w:pPr>
            <w:r/>
            <w:r>
              <w:rPr>
                <w:rFonts w:ascii="Calibri" w:hAnsi="Calibri"/>
                <w:b w:val="0"/>
                <w:color w:val="24323A"/>
                <w:sz w:val="14"/>
              </w:rPr>
              <w:t>Scenarios</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Gap</w:t>
            </w:r>
          </w:p>
        </w:tc>
        <w:tc>
          <w:tcPr>
            <w:tcW w:type="dxa" w:w="4320"/>
            <w:vAlign w:val="center"/>
            <w:tcMar>
              <w:top w:w="80" w:type="dxa"/>
              <w:start w:w="120" w:type="dxa"/>
              <w:bottom w:w="80" w:type="dxa"/>
              <w:end w:w="120" w:type="dxa"/>
            </w:tcMar>
            <w:shd w:fill="FFFFFF"/>
          </w:tcPr>
          <w:p>
            <w:pPr>
              <w:spacing w:after="0"/>
            </w:pPr>
            <w:r/>
            <w:r>
              <w:rPr>
                <w:rFonts w:ascii="Calibri" w:hAnsi="Calibri"/>
                <w:b w:val="0"/>
                <w:color w:val="24323A"/>
                <w:sz w:val="14"/>
              </w:rPr>
              <w:t>Baseline, upside, downside, cap, hiring/ramp cases</w:t>
            </w:r>
          </w:p>
        </w:tc>
        <w:tc>
          <w:tcPr>
            <w:tcW w:type="dxa" w:w="1440"/>
            <w:vAlign w:val="center"/>
            <w:tcMar>
              <w:top w:w="80" w:type="dxa"/>
              <w:start w:w="120" w:type="dxa"/>
              <w:bottom w:w="80" w:type="dxa"/>
              <w:end w:w="120" w:type="dxa"/>
            </w:tcMar>
            <w:shd w:fill="FFFFFF"/>
          </w:tcPr>
          <w:p>
            <w:pPr>
              <w:spacing w:after="0"/>
            </w:pPr>
            <w:r/>
            <w:r>
              <w:rPr>
                <w:rFonts w:ascii="Calibri" w:hAnsi="Calibri"/>
                <w:b w:val="0"/>
                <w:color w:val="24323A"/>
                <w:sz w:val="14"/>
              </w:rPr>
              <w:t>Added</w:t>
            </w:r>
          </w:p>
        </w:tc>
      </w:tr>
      <w:tr>
        <w:tc>
          <w:tcPr>
            <w:tcW w:type="dxa" w:w="1728"/>
            <w:vAlign w:val="center"/>
            <w:tcMar>
              <w:top w:w="80" w:type="dxa"/>
              <w:start w:w="120" w:type="dxa"/>
              <w:bottom w:w="80" w:type="dxa"/>
              <w:end w:w="120" w:type="dxa"/>
            </w:tcMar>
            <w:shd w:fill="F4F7F8"/>
          </w:tcPr>
          <w:p>
            <w:pPr>
              <w:spacing w:after="0"/>
            </w:pPr>
            <w:r/>
            <w:r>
              <w:rPr>
                <w:rFonts w:ascii="Calibri" w:hAnsi="Calibri"/>
                <w:b w:val="0"/>
                <w:color w:val="24323A"/>
                <w:sz w:val="14"/>
              </w:rPr>
              <w:t>Governance</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Gap</w:t>
            </w:r>
          </w:p>
        </w:tc>
        <w:tc>
          <w:tcPr>
            <w:tcW w:type="dxa" w:w="4320"/>
            <w:vAlign w:val="center"/>
            <w:tcMar>
              <w:top w:w="80" w:type="dxa"/>
              <w:start w:w="120" w:type="dxa"/>
              <w:bottom w:w="80" w:type="dxa"/>
              <w:end w:w="120" w:type="dxa"/>
            </w:tcMar>
            <w:shd w:fill="F4F7F8"/>
          </w:tcPr>
          <w:p>
            <w:pPr>
              <w:spacing w:after="0"/>
            </w:pPr>
            <w:r/>
            <w:r>
              <w:rPr>
                <w:rFonts w:ascii="Calibri" w:hAnsi="Calibri"/>
                <w:b w:val="0"/>
                <w:color w:val="24323A"/>
                <w:sz w:val="14"/>
              </w:rPr>
              <w:t>Approval, audit, change control, disputes and ownership</w:t>
            </w:r>
          </w:p>
        </w:tc>
        <w:tc>
          <w:tcPr>
            <w:tcW w:type="dxa" w:w="1440"/>
            <w:vAlign w:val="center"/>
            <w:tcMar>
              <w:top w:w="80" w:type="dxa"/>
              <w:start w:w="120" w:type="dxa"/>
              <w:bottom w:w="80" w:type="dxa"/>
              <w:end w:w="120" w:type="dxa"/>
            </w:tcMar>
            <w:shd w:fill="F4F7F8"/>
          </w:tcPr>
          <w:p>
            <w:pPr>
              <w:spacing w:after="0"/>
            </w:pPr>
            <w:r/>
            <w:r>
              <w:rPr>
                <w:rFonts w:ascii="Calibri" w:hAnsi="Calibri"/>
                <w:b w:val="0"/>
                <w:color w:val="24323A"/>
                <w:sz w:val="14"/>
              </w:rPr>
              <w:t>Added</w:t>
            </w:r>
          </w:p>
        </w:tc>
      </w:tr>
    </w:tbl>
    <w:p>
      <w:pPr>
        <w:spacing w:after="0"/>
      </w:pPr>
    </w:p>
    <w:p>
      <w:r>
        <w:rPr>
          <w:rFonts w:ascii="Calibri" w:hAnsi="Calibri"/>
          <w:b/>
          <w:color w:val="132E3A"/>
        </w:rPr>
        <w:t xml:space="preserve">Expanded tool: </w:t>
      </w:r>
      <w:hyperlink r:id="rId18">
        <w:r>
          <w:rPr>
            <w:color w:val="1E4C86"/>
            <w:u w:val="single"/>
            <w:b/>
          </w:rPr>
          <w:t>Open the compensation design workbook</w:t>
        </w:r>
      </w:hyperlink>
    </w:p>
    <w:p>
      <w:pPr>
        <w:pStyle w:val="Heading2"/>
      </w:pPr>
      <w:r>
        <w:t>Compensation design sequence</w:t>
      </w:r>
    </w:p>
    <w:p>
      <w:pPr>
        <w:pStyle w:val="ListBullet"/>
        <w:spacing w:after="60"/>
      </w:pPr>
      <w:r>
        <w:t>Design the job before the incentive: mission, persuasion, controllability and eligible population.</w:t>
      </w:r>
    </w:p>
    <w:p>
      <w:pPr>
        <w:pStyle w:val="ListBullet"/>
        <w:spacing w:after="60"/>
      </w:pPr>
      <w:r>
        <w:t>Choose measures that the role can influence; use the fewest measures that express the strategy.</w:t>
      </w:r>
    </w:p>
    <w:p>
      <w:pPr>
        <w:pStyle w:val="ListBullet"/>
        <w:spacing w:after="60"/>
      </w:pPr>
      <w:r>
        <w:t>Write crediting rules for real-world edge cases before publishing rates.</w:t>
      </w:r>
    </w:p>
    <w:p>
      <w:pPr>
        <w:pStyle w:val="ListBullet"/>
        <w:spacing w:after="60"/>
      </w:pPr>
      <w:r>
        <w:t>Design marginal payout curves and test thresholds, accelerators, caps, mega-deals and negative credit.</w:t>
      </w:r>
    </w:p>
    <w:p>
      <w:pPr>
        <w:pStyle w:val="ListBullet"/>
        <w:spacing w:after="60"/>
      </w:pPr>
      <w:r>
        <w:t>Model cost across a realistic attainment distribution; compare payout concentration and payout-to-bookings.</w:t>
      </w:r>
    </w:p>
    <w:p>
      <w:pPr>
        <w:pStyle w:val="ListBullet"/>
        <w:spacing w:after="60"/>
      </w:pPr>
      <w:r>
        <w:t>Run employee examples, legal/HR review, systems UAT, manager certification and acknowledgment.</w:t>
      </w:r>
    </w:p>
    <w:p>
      <w:pPr>
        <w:pStyle w:val="ListBullet"/>
        <w:spacing w:after="60"/>
      </w:pPr>
      <w:r>
        <w:t>Operate a documented dispute and change-control process after launch.</w:t>
      </w:r>
    </w:p>
    <w:p>
      <w:r>
        <w:br w:type="page"/>
      </w:r>
    </w:p>
    <w:p>
      <w:pPr>
        <w:pStyle w:val="Heading1"/>
      </w:pPr>
      <w:r>
        <w:t>6. Compensation best-practice checklist</w:t>
      </w:r>
    </w:p>
    <w:tbl>
      <w:tblPr>
        <w:tblStyle w:val="TableGrid"/>
        <w:tblW w:type="auto" w:w="0"/>
        <w:jc w:val="center"/>
        <w:tblLayout w:type="fixed"/>
        <w:tblLook w:firstColumn="1" w:firstRow="1" w:lastColumn="0" w:lastRow="0" w:noHBand="0" w:noVBand="1" w:val="04A0"/>
      </w:tblPr>
      <w:tblGrid>
        <w:gridCol w:w="4939"/>
        <w:gridCol w:w="4939"/>
      </w:tblGrid>
      <w:tr>
        <w:tc>
          <w:tcPr>
            <w:tcW w:type="dxa" w:w="1800"/>
            <w:vAlign w:val="center"/>
            <w:tcMar>
              <w:top w:w="80" w:type="dxa"/>
              <w:start w:w="120" w:type="dxa"/>
              <w:bottom w:w="80" w:type="dxa"/>
              <w:end w:w="120" w:type="dxa"/>
            </w:tcMar>
            <w:shd w:fill="132E3A"/>
          </w:tcPr>
          <w:p>
            <w:pPr>
              <w:spacing w:after="0"/>
            </w:pPr>
            <w:r/>
            <w:r>
              <w:rPr>
                <w:rFonts w:ascii="Calibri" w:hAnsi="Calibri"/>
                <w:b/>
                <w:color w:val="FFFFFF"/>
                <w:sz w:val="15"/>
              </w:rPr>
              <w:t>AREA</w:t>
            </w:r>
          </w:p>
        </w:tc>
        <w:tc>
          <w:tcPr>
            <w:tcW w:type="dxa" w:w="7992"/>
            <w:vAlign w:val="center"/>
            <w:tcMar>
              <w:top w:w="80" w:type="dxa"/>
              <w:start w:w="120" w:type="dxa"/>
              <w:bottom w:w="80" w:type="dxa"/>
              <w:end w:w="120" w:type="dxa"/>
            </w:tcMar>
            <w:shd w:fill="132E3A"/>
          </w:tcPr>
          <w:p>
            <w:pPr>
              <w:spacing w:after="0"/>
            </w:pPr>
            <w:r/>
            <w:r>
              <w:rPr>
                <w:rFonts w:ascii="Calibri" w:hAnsi="Calibri"/>
                <w:b/>
                <w:color w:val="FFFFFF"/>
                <w:sz w:val="15"/>
              </w:rPr>
              <w:t>APPROVAL QUESTIONS</w:t>
            </w:r>
          </w:p>
        </w:tc>
      </w:tr>
      <w:tr>
        <w:tc>
          <w:tcPr>
            <w:tcW w:type="dxa" w:w="1800"/>
            <w:vAlign w:val="center"/>
            <w:tcMar>
              <w:top w:w="80" w:type="dxa"/>
              <w:start w:w="120" w:type="dxa"/>
              <w:bottom w:w="80" w:type="dxa"/>
              <w:end w:w="120" w:type="dxa"/>
            </w:tcMar>
            <w:shd w:fill="FFFFFF"/>
          </w:tcPr>
          <w:p>
            <w:pPr>
              <w:spacing w:after="0"/>
            </w:pPr>
            <w:r/>
            <w:r>
              <w:rPr>
                <w:rFonts w:ascii="Calibri" w:hAnsi="Calibri"/>
                <w:b w:val="0"/>
                <w:color w:val="24323A"/>
                <w:sz w:val="16"/>
              </w:rPr>
              <w:t>Eligibility</w:t>
            </w:r>
          </w:p>
        </w:tc>
        <w:tc>
          <w:tcPr>
            <w:tcW w:type="dxa" w:w="7992"/>
            <w:vAlign w:val="center"/>
            <w:tcMar>
              <w:top w:w="80" w:type="dxa"/>
              <w:start w:w="120" w:type="dxa"/>
              <w:bottom w:w="80" w:type="dxa"/>
              <w:end w:w="120" w:type="dxa"/>
            </w:tcMar>
            <w:shd w:fill="FFFFFF"/>
          </w:tcPr>
          <w:p>
            <w:pPr>
              <w:spacing w:after="0"/>
            </w:pPr>
            <w:r/>
            <w:r>
              <w:rPr>
                <w:rFonts w:ascii="Calibri" w:hAnsi="Calibri"/>
                <w:b w:val="0"/>
                <w:color w:val="24323A"/>
                <w:sz w:val="16"/>
              </w:rPr>
              <w:t>Is the role truly persuasive? Is variable pay appropriate for the role’s degree of influence?</w:t>
            </w:r>
          </w:p>
        </w:tc>
      </w:tr>
      <w:tr>
        <w:tc>
          <w:tcPr>
            <w:tcW w:type="dxa" w:w="1800"/>
            <w:vAlign w:val="center"/>
            <w:tcMar>
              <w:top w:w="80" w:type="dxa"/>
              <w:start w:w="120" w:type="dxa"/>
              <w:bottom w:w="80" w:type="dxa"/>
              <w:end w:w="120" w:type="dxa"/>
            </w:tcMar>
            <w:shd w:fill="F4F7F8"/>
          </w:tcPr>
          <w:p>
            <w:pPr>
              <w:spacing w:after="0"/>
            </w:pPr>
            <w:r/>
            <w:r>
              <w:rPr>
                <w:rFonts w:ascii="Calibri" w:hAnsi="Calibri"/>
                <w:b w:val="0"/>
                <w:color w:val="24323A"/>
                <w:sz w:val="16"/>
              </w:rPr>
              <w:t>Pay mix</w:t>
            </w:r>
          </w:p>
        </w:tc>
        <w:tc>
          <w:tcPr>
            <w:tcW w:type="dxa" w:w="7992"/>
            <w:vAlign w:val="center"/>
            <w:tcMar>
              <w:top w:w="80" w:type="dxa"/>
              <w:start w:w="120" w:type="dxa"/>
              <w:bottom w:w="80" w:type="dxa"/>
              <w:end w:w="120" w:type="dxa"/>
            </w:tcMar>
            <w:shd w:fill="F4F7F8"/>
          </w:tcPr>
          <w:p>
            <w:pPr>
              <w:spacing w:after="0"/>
            </w:pPr>
            <w:r/>
            <w:r>
              <w:rPr>
                <w:rFonts w:ascii="Calibri" w:hAnsi="Calibri"/>
                <w:b w:val="0"/>
                <w:color w:val="24323A"/>
                <w:sz w:val="16"/>
              </w:rPr>
              <w:t>Does the fixed/variable mix reflect influence, cycle length, collaboration and market practice?</w:t>
            </w:r>
          </w:p>
        </w:tc>
      </w:tr>
      <w:tr>
        <w:tc>
          <w:tcPr>
            <w:tcW w:type="dxa" w:w="1800"/>
            <w:vAlign w:val="center"/>
            <w:tcMar>
              <w:top w:w="80" w:type="dxa"/>
              <w:start w:w="120" w:type="dxa"/>
              <w:bottom w:w="80" w:type="dxa"/>
              <w:end w:w="120" w:type="dxa"/>
            </w:tcMar>
            <w:shd w:fill="FFFFFF"/>
          </w:tcPr>
          <w:p>
            <w:pPr>
              <w:spacing w:after="0"/>
            </w:pPr>
            <w:r/>
            <w:r>
              <w:rPr>
                <w:rFonts w:ascii="Calibri" w:hAnsi="Calibri"/>
                <w:b w:val="0"/>
                <w:color w:val="24323A"/>
                <w:sz w:val="16"/>
              </w:rPr>
              <w:t>Measures</w:t>
            </w:r>
          </w:p>
        </w:tc>
        <w:tc>
          <w:tcPr>
            <w:tcW w:type="dxa" w:w="7992"/>
            <w:vAlign w:val="center"/>
            <w:tcMar>
              <w:top w:w="80" w:type="dxa"/>
              <w:start w:w="120" w:type="dxa"/>
              <w:bottom w:w="80" w:type="dxa"/>
              <w:end w:w="120" w:type="dxa"/>
            </w:tcMar>
            <w:shd w:fill="FFFFFF"/>
          </w:tcPr>
          <w:p>
            <w:pPr>
              <w:spacing w:after="0"/>
            </w:pPr>
            <w:r/>
            <w:r>
              <w:rPr>
                <w:rFonts w:ascii="Calibri" w:hAnsi="Calibri"/>
                <w:b w:val="0"/>
                <w:color w:val="24323A"/>
                <w:sz w:val="16"/>
              </w:rPr>
              <w:t>Are there no more than 1–3 primary measures? Are they observable, auditable and controllable?</w:t>
            </w:r>
          </w:p>
        </w:tc>
      </w:tr>
      <w:tr>
        <w:tc>
          <w:tcPr>
            <w:tcW w:type="dxa" w:w="1800"/>
            <w:vAlign w:val="center"/>
            <w:tcMar>
              <w:top w:w="80" w:type="dxa"/>
              <w:start w:w="120" w:type="dxa"/>
              <w:bottom w:w="80" w:type="dxa"/>
              <w:end w:w="120" w:type="dxa"/>
            </w:tcMar>
            <w:shd w:fill="F4F7F8"/>
          </w:tcPr>
          <w:p>
            <w:pPr>
              <w:spacing w:after="0"/>
            </w:pPr>
            <w:r/>
            <w:r>
              <w:rPr>
                <w:rFonts w:ascii="Calibri" w:hAnsi="Calibri"/>
                <w:b w:val="0"/>
                <w:color w:val="24323A"/>
                <w:sz w:val="16"/>
              </w:rPr>
              <w:t>Weights</w:t>
            </w:r>
          </w:p>
        </w:tc>
        <w:tc>
          <w:tcPr>
            <w:tcW w:type="dxa" w:w="7992"/>
            <w:vAlign w:val="center"/>
            <w:tcMar>
              <w:top w:w="80" w:type="dxa"/>
              <w:start w:w="120" w:type="dxa"/>
              <w:bottom w:w="80" w:type="dxa"/>
              <w:end w:w="120" w:type="dxa"/>
            </w:tcMar>
            <w:shd w:fill="F4F7F8"/>
          </w:tcPr>
          <w:p>
            <w:pPr>
              <w:spacing w:after="0"/>
            </w:pPr>
            <w:r/>
            <w:r>
              <w:rPr>
                <w:rFonts w:ascii="Calibri" w:hAnsi="Calibri"/>
                <w:b w:val="0"/>
                <w:color w:val="24323A"/>
                <w:sz w:val="16"/>
              </w:rPr>
              <w:t>Are weights large enough to matter? Do strategic measures have clear gates and definitions?</w:t>
            </w:r>
          </w:p>
        </w:tc>
      </w:tr>
      <w:tr>
        <w:tc>
          <w:tcPr>
            <w:tcW w:type="dxa" w:w="1800"/>
            <w:vAlign w:val="center"/>
            <w:tcMar>
              <w:top w:w="80" w:type="dxa"/>
              <w:start w:w="120" w:type="dxa"/>
              <w:bottom w:w="80" w:type="dxa"/>
              <w:end w:w="120" w:type="dxa"/>
            </w:tcMar>
            <w:shd w:fill="FFFFFF"/>
          </w:tcPr>
          <w:p>
            <w:pPr>
              <w:spacing w:after="0"/>
            </w:pPr>
            <w:r/>
            <w:r>
              <w:rPr>
                <w:rFonts w:ascii="Calibri" w:hAnsi="Calibri"/>
                <w:b w:val="0"/>
                <w:color w:val="24323A"/>
                <w:sz w:val="16"/>
              </w:rPr>
              <w:t>Crediting</w:t>
            </w:r>
          </w:p>
        </w:tc>
        <w:tc>
          <w:tcPr>
            <w:tcW w:type="dxa" w:w="7992"/>
            <w:vAlign w:val="center"/>
            <w:tcMar>
              <w:top w:w="80" w:type="dxa"/>
              <w:start w:w="120" w:type="dxa"/>
              <w:bottom w:w="80" w:type="dxa"/>
              <w:end w:w="120" w:type="dxa"/>
            </w:tcMar>
            <w:shd w:fill="FFFFFF"/>
          </w:tcPr>
          <w:p>
            <w:pPr>
              <w:spacing w:after="0"/>
            </w:pPr>
            <w:r/>
            <w:r>
              <w:rPr>
                <w:rFonts w:ascii="Calibri" w:hAnsi="Calibri"/>
                <w:b w:val="0"/>
                <w:color w:val="24323A"/>
                <w:sz w:val="16"/>
              </w:rPr>
              <w:t>Are split, overlay, channel, renewal, clawback, FX and territory-transfer rules explicit?</w:t>
            </w:r>
          </w:p>
        </w:tc>
      </w:tr>
      <w:tr>
        <w:tc>
          <w:tcPr>
            <w:tcW w:type="dxa" w:w="1800"/>
            <w:vAlign w:val="center"/>
            <w:tcMar>
              <w:top w:w="80" w:type="dxa"/>
              <w:start w:w="120" w:type="dxa"/>
              <w:bottom w:w="80" w:type="dxa"/>
              <w:end w:w="120" w:type="dxa"/>
            </w:tcMar>
            <w:shd w:fill="F4F7F8"/>
          </w:tcPr>
          <w:p>
            <w:pPr>
              <w:spacing w:after="0"/>
            </w:pPr>
            <w:r/>
            <w:r>
              <w:rPr>
                <w:rFonts w:ascii="Calibri" w:hAnsi="Calibri"/>
                <w:b w:val="0"/>
                <w:color w:val="24323A"/>
                <w:sz w:val="16"/>
              </w:rPr>
              <w:t>Curve</w:t>
            </w:r>
          </w:p>
        </w:tc>
        <w:tc>
          <w:tcPr>
            <w:tcW w:type="dxa" w:w="7992"/>
            <w:vAlign w:val="center"/>
            <w:tcMar>
              <w:top w:w="80" w:type="dxa"/>
              <w:start w:w="120" w:type="dxa"/>
              <w:bottom w:w="80" w:type="dxa"/>
              <w:end w:w="120" w:type="dxa"/>
            </w:tcMar>
            <w:shd w:fill="F4F7F8"/>
          </w:tcPr>
          <w:p>
            <w:pPr>
              <w:spacing w:after="0"/>
            </w:pPr>
            <w:r/>
            <w:r>
              <w:rPr>
                <w:rFonts w:ascii="Calibri" w:hAnsi="Calibri"/>
                <w:b w:val="0"/>
                <w:color w:val="24323A"/>
                <w:sz w:val="16"/>
              </w:rPr>
              <w:t>Is target payout correct at 100%? Are accelerators marginal? Have cliffs and caps been challenged?</w:t>
            </w:r>
          </w:p>
        </w:tc>
      </w:tr>
      <w:tr>
        <w:tc>
          <w:tcPr>
            <w:tcW w:type="dxa" w:w="1800"/>
            <w:vAlign w:val="center"/>
            <w:tcMar>
              <w:top w:w="80" w:type="dxa"/>
              <w:start w:w="120" w:type="dxa"/>
              <w:bottom w:w="80" w:type="dxa"/>
              <w:end w:w="120" w:type="dxa"/>
            </w:tcMar>
            <w:shd w:fill="FFFFFF"/>
          </w:tcPr>
          <w:p>
            <w:pPr>
              <w:spacing w:after="0"/>
            </w:pPr>
            <w:r/>
            <w:r>
              <w:rPr>
                <w:rFonts w:ascii="Calibri" w:hAnsi="Calibri"/>
                <w:b w:val="0"/>
                <w:color w:val="24323A"/>
                <w:sz w:val="16"/>
              </w:rPr>
              <w:t>Ramp</w:t>
            </w:r>
          </w:p>
        </w:tc>
        <w:tc>
          <w:tcPr>
            <w:tcW w:type="dxa" w:w="7992"/>
            <w:vAlign w:val="center"/>
            <w:tcMar>
              <w:top w:w="80" w:type="dxa"/>
              <w:start w:w="120" w:type="dxa"/>
              <w:bottom w:w="80" w:type="dxa"/>
              <w:end w:w="120" w:type="dxa"/>
            </w:tcMar>
            <w:shd w:fill="FFFFFF"/>
          </w:tcPr>
          <w:p>
            <w:pPr>
              <w:spacing w:after="0"/>
            </w:pPr>
            <w:r/>
            <w:r>
              <w:rPr>
                <w:rFonts w:ascii="Calibri" w:hAnsi="Calibri"/>
                <w:b w:val="0"/>
                <w:color w:val="24323A"/>
                <w:sz w:val="16"/>
              </w:rPr>
              <w:t>Does relief reflect training, pipeline build and cycle length? Is guarantee/draw treatment explicit?</w:t>
            </w:r>
          </w:p>
        </w:tc>
      </w:tr>
      <w:tr>
        <w:tc>
          <w:tcPr>
            <w:tcW w:type="dxa" w:w="1800"/>
            <w:vAlign w:val="center"/>
            <w:tcMar>
              <w:top w:w="80" w:type="dxa"/>
              <w:start w:w="120" w:type="dxa"/>
              <w:bottom w:w="80" w:type="dxa"/>
              <w:end w:w="120" w:type="dxa"/>
            </w:tcMar>
            <w:shd w:fill="F4F7F8"/>
          </w:tcPr>
          <w:p>
            <w:pPr>
              <w:spacing w:after="0"/>
            </w:pPr>
            <w:r/>
            <w:r>
              <w:rPr>
                <w:rFonts w:ascii="Calibri" w:hAnsi="Calibri"/>
                <w:b w:val="0"/>
                <w:color w:val="24323A"/>
                <w:sz w:val="16"/>
              </w:rPr>
              <w:t>Cost</w:t>
            </w:r>
          </w:p>
        </w:tc>
        <w:tc>
          <w:tcPr>
            <w:tcW w:type="dxa" w:w="7992"/>
            <w:vAlign w:val="center"/>
            <w:tcMar>
              <w:top w:w="80" w:type="dxa"/>
              <w:start w:w="120" w:type="dxa"/>
              <w:bottom w:w="80" w:type="dxa"/>
              <w:end w:w="120" w:type="dxa"/>
            </w:tcMar>
            <w:shd w:fill="F4F7F8"/>
          </w:tcPr>
          <w:p>
            <w:pPr>
              <w:spacing w:after="0"/>
            </w:pPr>
            <w:r/>
            <w:r>
              <w:rPr>
                <w:rFonts w:ascii="Calibri" w:hAnsi="Calibri"/>
                <w:b w:val="0"/>
                <w:color w:val="24323A"/>
                <w:sz w:val="16"/>
              </w:rPr>
              <w:t>What happens at P10, P50, P75, P90 and extreme attainment? Is payout affordable and differentiated?</w:t>
            </w:r>
          </w:p>
        </w:tc>
      </w:tr>
      <w:tr>
        <w:tc>
          <w:tcPr>
            <w:tcW w:type="dxa" w:w="1800"/>
            <w:vAlign w:val="center"/>
            <w:tcMar>
              <w:top w:w="80" w:type="dxa"/>
              <w:start w:w="120" w:type="dxa"/>
              <w:bottom w:w="80" w:type="dxa"/>
              <w:end w:w="120" w:type="dxa"/>
            </w:tcMar>
            <w:shd w:fill="FFFFFF"/>
          </w:tcPr>
          <w:p>
            <w:pPr>
              <w:spacing w:after="0"/>
            </w:pPr>
            <w:r/>
            <w:r>
              <w:rPr>
                <w:rFonts w:ascii="Calibri" w:hAnsi="Calibri"/>
                <w:b w:val="0"/>
                <w:color w:val="24323A"/>
                <w:sz w:val="16"/>
              </w:rPr>
              <w:t>Governance</w:t>
            </w:r>
          </w:p>
        </w:tc>
        <w:tc>
          <w:tcPr>
            <w:tcW w:type="dxa" w:w="7992"/>
            <w:vAlign w:val="center"/>
            <w:tcMar>
              <w:top w:w="80" w:type="dxa"/>
              <w:start w:w="120" w:type="dxa"/>
              <w:bottom w:w="80" w:type="dxa"/>
              <w:end w:w="120" w:type="dxa"/>
            </w:tcMar>
            <w:shd w:fill="FFFFFF"/>
          </w:tcPr>
          <w:p>
            <w:pPr>
              <w:spacing w:after="0"/>
            </w:pPr>
            <w:r/>
            <w:r>
              <w:rPr>
                <w:rFonts w:ascii="Calibri" w:hAnsi="Calibri"/>
                <w:b w:val="0"/>
                <w:color w:val="24323A"/>
                <w:sz w:val="16"/>
              </w:rPr>
              <w:t>Who approves exceptions? What is the dispute SLA? Can every payout trace to a source event?</w:t>
            </w:r>
          </w:p>
        </w:tc>
      </w:tr>
      <w:tr>
        <w:tc>
          <w:tcPr>
            <w:tcW w:type="dxa" w:w="1800"/>
            <w:vAlign w:val="center"/>
            <w:tcMar>
              <w:top w:w="80" w:type="dxa"/>
              <w:start w:w="120" w:type="dxa"/>
              <w:bottom w:w="80" w:type="dxa"/>
              <w:end w:w="120" w:type="dxa"/>
            </w:tcMar>
            <w:shd w:fill="F4F7F8"/>
          </w:tcPr>
          <w:p>
            <w:pPr>
              <w:spacing w:after="0"/>
            </w:pPr>
            <w:r/>
            <w:r>
              <w:rPr>
                <w:rFonts w:ascii="Calibri" w:hAnsi="Calibri"/>
                <w:b w:val="0"/>
                <w:color w:val="24323A"/>
                <w:sz w:val="16"/>
              </w:rPr>
              <w:t>Communication</w:t>
            </w:r>
          </w:p>
        </w:tc>
        <w:tc>
          <w:tcPr>
            <w:tcW w:type="dxa" w:w="7992"/>
            <w:vAlign w:val="center"/>
            <w:tcMar>
              <w:top w:w="80" w:type="dxa"/>
              <w:start w:w="120" w:type="dxa"/>
              <w:bottom w:w="80" w:type="dxa"/>
              <w:end w:w="120" w:type="dxa"/>
            </w:tcMar>
            <w:shd w:fill="F4F7F8"/>
          </w:tcPr>
          <w:p>
            <w:pPr>
              <w:spacing w:after="0"/>
            </w:pPr>
            <w:r/>
            <w:r>
              <w:rPr>
                <w:rFonts w:ascii="Calibri" w:hAnsi="Calibri"/>
                <w:b w:val="0"/>
                <w:color w:val="24323A"/>
                <w:sz w:val="16"/>
              </w:rPr>
              <w:t>Can a seller calculate three examples? Have managers passed certification before launch?</w:t>
            </w:r>
          </w:p>
        </w:tc>
      </w:tr>
    </w:tbl>
    <w:p>
      <w:pPr>
        <w:spacing w:after="0"/>
      </w:pPr>
    </w:p>
    <w:p>
      <w:pPr>
        <w:pStyle w:val="Heading2"/>
      </w:pPr>
      <w:r>
        <w:t>Common failure modes</w:t>
      </w:r>
    </w:p>
    <w:p>
      <w:pPr>
        <w:pStyle w:val="ListBullet"/>
        <w:spacing w:after="60"/>
      </w:pPr>
      <w:r>
        <w:t>Using compensation to fix an unclear job or broken territory.</w:t>
      </w:r>
    </w:p>
    <w:p>
      <w:pPr>
        <w:pStyle w:val="ListBullet"/>
        <w:spacing w:after="60"/>
      </w:pPr>
      <w:r>
        <w:t>Adding measures for every corporate priority until none of them meaningfully motivate.</w:t>
      </w:r>
    </w:p>
    <w:p>
      <w:pPr>
        <w:pStyle w:val="ListBullet"/>
        <w:spacing w:after="60"/>
      </w:pPr>
      <w:r>
        <w:t>Applying a flat accelerator retroactively instead of using marginal bands, creating avoidable cliffs.</w:t>
      </w:r>
    </w:p>
    <w:p>
      <w:pPr>
        <w:pStyle w:val="ListBullet"/>
        <w:spacing w:after="60"/>
      </w:pPr>
      <w:r>
        <w:t>Publishing rates before defining crediting edge cases and effective dates.</w:t>
      </w:r>
    </w:p>
    <w:p>
      <w:pPr>
        <w:pStyle w:val="ListBullet"/>
        <w:spacing w:after="60"/>
      </w:pPr>
      <w:r>
        <w:t>Setting thresholds or caps without modeling behavioral and financial consequences.</w:t>
      </w:r>
    </w:p>
    <w:p>
      <w:pPr>
        <w:pStyle w:val="ListBullet"/>
        <w:spacing w:after="60"/>
      </w:pPr>
      <w:r>
        <w:t>Launching before CRM/ICM logic, manager training, examples and dispute workflow are ready.</w:t>
      </w:r>
    </w:p>
    <w:p>
      <w:r>
        <w:br w:type="page"/>
      </w:r>
    </w:p>
    <w:p>
      <w:pPr>
        <w:pStyle w:val="Heading1"/>
      </w:pPr>
      <w:r>
        <w:t>7. Governance and operating cadence</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c>
          <w:tcPr>
            <w:tcW w:type="dxa" w:w="1152"/>
            <w:vAlign w:val="center"/>
            <w:tcMar>
              <w:top w:w="80" w:type="dxa"/>
              <w:start w:w="120" w:type="dxa"/>
              <w:bottom w:w="80" w:type="dxa"/>
              <w:end w:w="120" w:type="dxa"/>
            </w:tcMar>
            <w:shd w:fill="132E3A"/>
          </w:tcPr>
          <w:p>
            <w:pPr>
              <w:spacing w:after="0"/>
            </w:pPr>
            <w:r/>
            <w:r>
              <w:rPr>
                <w:rFonts w:ascii="Calibri" w:hAnsi="Calibri"/>
                <w:b/>
                <w:color w:val="FFFFFF"/>
                <w:sz w:val="15"/>
              </w:rPr>
              <w:t>CADENCE</w:t>
            </w:r>
          </w:p>
        </w:tc>
        <w:tc>
          <w:tcPr>
            <w:tcW w:type="dxa" w:w="2232"/>
            <w:vAlign w:val="center"/>
            <w:tcMar>
              <w:top w:w="80" w:type="dxa"/>
              <w:start w:w="120" w:type="dxa"/>
              <w:bottom w:w="80" w:type="dxa"/>
              <w:end w:w="120" w:type="dxa"/>
            </w:tcMar>
            <w:shd w:fill="132E3A"/>
          </w:tcPr>
          <w:p>
            <w:pPr>
              <w:spacing w:after="0"/>
            </w:pPr>
            <w:r/>
            <w:r>
              <w:rPr>
                <w:rFonts w:ascii="Calibri" w:hAnsi="Calibri"/>
                <w:b/>
                <w:color w:val="FFFFFF"/>
                <w:sz w:val="15"/>
              </w:rPr>
              <w:t>FORUM</w:t>
            </w:r>
          </w:p>
        </w:tc>
        <w:tc>
          <w:tcPr>
            <w:tcW w:type="dxa" w:w="3960"/>
            <w:vAlign w:val="center"/>
            <w:tcMar>
              <w:top w:w="80" w:type="dxa"/>
              <w:start w:w="120" w:type="dxa"/>
              <w:bottom w:w="80" w:type="dxa"/>
              <w:end w:w="120" w:type="dxa"/>
            </w:tcMar>
            <w:shd w:fill="132E3A"/>
          </w:tcPr>
          <w:p>
            <w:pPr>
              <w:spacing w:after="0"/>
            </w:pPr>
            <w:r/>
            <w:r>
              <w:rPr>
                <w:rFonts w:ascii="Calibri" w:hAnsi="Calibri"/>
                <w:b/>
                <w:color w:val="FFFFFF"/>
                <w:sz w:val="15"/>
              </w:rPr>
              <w:t>DECISIONS</w:t>
            </w:r>
          </w:p>
        </w:tc>
        <w:tc>
          <w:tcPr>
            <w:tcW w:type="dxa" w:w="2376"/>
            <w:vAlign w:val="center"/>
            <w:tcMar>
              <w:top w:w="80" w:type="dxa"/>
              <w:start w:w="120" w:type="dxa"/>
              <w:bottom w:w="80" w:type="dxa"/>
              <w:end w:w="120" w:type="dxa"/>
            </w:tcMar>
            <w:shd w:fill="132E3A"/>
          </w:tcPr>
          <w:p>
            <w:pPr>
              <w:spacing w:after="0"/>
            </w:pPr>
            <w:r/>
            <w:r>
              <w:rPr>
                <w:rFonts w:ascii="Calibri" w:hAnsi="Calibri"/>
                <w:b/>
                <w:color w:val="FFFFFF"/>
                <w:sz w:val="15"/>
              </w:rPr>
              <w:t>CORE VIEW</w:t>
            </w:r>
          </w:p>
        </w:tc>
      </w:tr>
      <w:tr>
        <w:tc>
          <w:tcPr>
            <w:tcW w:type="dxa" w:w="1152"/>
            <w:vAlign w:val="center"/>
            <w:tcMar>
              <w:top w:w="80" w:type="dxa"/>
              <w:start w:w="120" w:type="dxa"/>
              <w:bottom w:w="80" w:type="dxa"/>
              <w:end w:w="120" w:type="dxa"/>
            </w:tcMar>
            <w:shd w:fill="FFFFFF"/>
          </w:tcPr>
          <w:p>
            <w:pPr>
              <w:spacing w:after="0"/>
            </w:pPr>
            <w:r/>
            <w:r>
              <w:rPr>
                <w:rFonts w:ascii="Calibri" w:hAnsi="Calibri"/>
                <w:b w:val="0"/>
                <w:color w:val="24323A"/>
                <w:sz w:val="15"/>
              </w:rPr>
              <w:t>Weekly</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Forecast and pipeline inspection</w:t>
            </w:r>
          </w:p>
        </w:tc>
        <w:tc>
          <w:tcPr>
            <w:tcW w:type="dxa" w:w="3960"/>
            <w:vAlign w:val="center"/>
            <w:tcMar>
              <w:top w:w="80" w:type="dxa"/>
              <w:start w:w="120" w:type="dxa"/>
              <w:bottom w:w="80" w:type="dxa"/>
              <w:end w:w="120" w:type="dxa"/>
            </w:tcMar>
            <w:shd w:fill="FFFFFF"/>
          </w:tcPr>
          <w:p>
            <w:pPr>
              <w:spacing w:after="0"/>
            </w:pPr>
            <w:r/>
            <w:r>
              <w:rPr>
                <w:rFonts w:ascii="Calibri" w:hAnsi="Calibri"/>
                <w:b w:val="0"/>
                <w:color w:val="24323A"/>
                <w:sz w:val="15"/>
              </w:rPr>
              <w:t>Commit changes, deal actions, pipeline creation gaps</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5"/>
              </w:rPr>
              <w:t>Forecast + pipeline</w:t>
            </w:r>
          </w:p>
        </w:tc>
      </w:tr>
      <w:tr>
        <w:tc>
          <w:tcPr>
            <w:tcW w:type="dxa" w:w="1152"/>
            <w:vAlign w:val="center"/>
            <w:tcMar>
              <w:top w:w="80" w:type="dxa"/>
              <w:start w:w="120" w:type="dxa"/>
              <w:bottom w:w="80" w:type="dxa"/>
              <w:end w:w="120" w:type="dxa"/>
            </w:tcMar>
            <w:shd w:fill="F4F7F8"/>
          </w:tcPr>
          <w:p>
            <w:pPr>
              <w:spacing w:after="0"/>
            </w:pPr>
            <w:r/>
            <w:r>
              <w:rPr>
                <w:rFonts w:ascii="Calibri" w:hAnsi="Calibri"/>
                <w:b w:val="0"/>
                <w:color w:val="24323A"/>
                <w:sz w:val="15"/>
              </w:rPr>
              <w:t>Monthly</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Revenue operating review</w:t>
            </w:r>
          </w:p>
        </w:tc>
        <w:tc>
          <w:tcPr>
            <w:tcW w:type="dxa" w:w="3960"/>
            <w:vAlign w:val="center"/>
            <w:tcMar>
              <w:top w:w="80" w:type="dxa"/>
              <w:start w:w="120" w:type="dxa"/>
              <w:bottom w:w="80" w:type="dxa"/>
              <w:end w:w="120" w:type="dxa"/>
            </w:tcMar>
            <w:shd w:fill="F4F7F8"/>
          </w:tcPr>
          <w:p>
            <w:pPr>
              <w:spacing w:after="0"/>
            </w:pPr>
            <w:r/>
            <w:r>
              <w:rPr>
                <w:rFonts w:ascii="Calibri" w:hAnsi="Calibri"/>
                <w:b w:val="0"/>
                <w:color w:val="24323A"/>
                <w:sz w:val="15"/>
              </w:rPr>
              <w:t>Segment/motion performance, capacity, conversion, source mix</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5"/>
              </w:rPr>
              <w:t>Executive dashboard</w:t>
            </w:r>
          </w:p>
        </w:tc>
      </w:tr>
      <w:tr>
        <w:tc>
          <w:tcPr>
            <w:tcW w:type="dxa" w:w="1152"/>
            <w:vAlign w:val="center"/>
            <w:tcMar>
              <w:top w:w="80" w:type="dxa"/>
              <w:start w:w="120" w:type="dxa"/>
              <w:bottom w:w="80" w:type="dxa"/>
              <w:end w:w="120" w:type="dxa"/>
            </w:tcMar>
            <w:shd w:fill="FFFFFF"/>
          </w:tcPr>
          <w:p>
            <w:pPr>
              <w:spacing w:after="0"/>
            </w:pPr>
            <w:r/>
            <w:r>
              <w:rPr>
                <w:rFonts w:ascii="Calibri" w:hAnsi="Calibri"/>
                <w:b w:val="0"/>
                <w:color w:val="24323A"/>
                <w:sz w:val="15"/>
              </w:rPr>
              <w:t>Quarterly</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Plan health review</w:t>
            </w:r>
          </w:p>
        </w:tc>
        <w:tc>
          <w:tcPr>
            <w:tcW w:type="dxa" w:w="3960"/>
            <w:vAlign w:val="center"/>
            <w:tcMar>
              <w:top w:w="80" w:type="dxa"/>
              <w:start w:w="120" w:type="dxa"/>
              <w:bottom w:w="80" w:type="dxa"/>
              <w:end w:w="120" w:type="dxa"/>
            </w:tcMar>
            <w:shd w:fill="FFFFFF"/>
          </w:tcPr>
          <w:p>
            <w:pPr>
              <w:spacing w:after="0"/>
            </w:pPr>
            <w:r/>
            <w:r>
              <w:rPr>
                <w:rFonts w:ascii="Calibri" w:hAnsi="Calibri"/>
                <w:b w:val="0"/>
                <w:color w:val="24323A"/>
                <w:sz w:val="15"/>
              </w:rPr>
              <w:t>Reforecast, hiring changes, territory exceptions, comp cost</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5"/>
              </w:rPr>
              <w:t>All connected models</w:t>
            </w:r>
          </w:p>
        </w:tc>
      </w:tr>
      <w:tr>
        <w:tc>
          <w:tcPr>
            <w:tcW w:type="dxa" w:w="1152"/>
            <w:vAlign w:val="center"/>
            <w:tcMar>
              <w:top w:w="80" w:type="dxa"/>
              <w:start w:w="120" w:type="dxa"/>
              <w:bottom w:w="80" w:type="dxa"/>
              <w:end w:w="120" w:type="dxa"/>
            </w:tcMar>
            <w:shd w:fill="F4F7F8"/>
          </w:tcPr>
          <w:p>
            <w:pPr>
              <w:spacing w:after="0"/>
            </w:pPr>
            <w:r/>
            <w:r>
              <w:rPr>
                <w:rFonts w:ascii="Calibri" w:hAnsi="Calibri"/>
                <w:b w:val="0"/>
                <w:color w:val="24323A"/>
                <w:sz w:val="15"/>
              </w:rPr>
              <w:t>Semiannual</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ICP and territory calibration</w:t>
            </w:r>
          </w:p>
        </w:tc>
        <w:tc>
          <w:tcPr>
            <w:tcW w:type="dxa" w:w="3960"/>
            <w:vAlign w:val="center"/>
            <w:tcMar>
              <w:top w:w="80" w:type="dxa"/>
              <w:start w:w="120" w:type="dxa"/>
              <w:bottom w:w="80" w:type="dxa"/>
              <w:end w:w="120" w:type="dxa"/>
            </w:tcMar>
            <w:shd w:fill="F4F7F8"/>
          </w:tcPr>
          <w:p>
            <w:pPr>
              <w:spacing w:after="0"/>
            </w:pPr>
            <w:r/>
            <w:r>
              <w:rPr>
                <w:rFonts w:ascii="Calibri" w:hAnsi="Calibri"/>
                <w:b w:val="0"/>
                <w:color w:val="24323A"/>
                <w:sz w:val="15"/>
              </w:rPr>
              <w:t>Score drift, whitespace, workload, account movement</w:t>
            </w:r>
          </w:p>
        </w:tc>
        <w:tc>
          <w:tcPr>
            <w:tcW w:type="dxa" w:w="2376"/>
            <w:vAlign w:val="center"/>
            <w:tcMar>
              <w:top w:w="80" w:type="dxa"/>
              <w:start w:w="120" w:type="dxa"/>
              <w:bottom w:w="80" w:type="dxa"/>
              <w:end w:w="120" w:type="dxa"/>
            </w:tcMar>
            <w:shd w:fill="F4F7F8"/>
          </w:tcPr>
          <w:p>
            <w:pPr>
              <w:spacing w:after="0"/>
            </w:pPr>
            <w:r/>
            <w:r>
              <w:rPr>
                <w:rFonts w:ascii="Calibri" w:hAnsi="Calibri"/>
                <w:b w:val="0"/>
                <w:color w:val="24323A"/>
                <w:sz w:val="15"/>
              </w:rPr>
              <w:t>ICP + territory</w:t>
            </w:r>
          </w:p>
        </w:tc>
      </w:tr>
      <w:tr>
        <w:tc>
          <w:tcPr>
            <w:tcW w:type="dxa" w:w="1152"/>
            <w:vAlign w:val="center"/>
            <w:tcMar>
              <w:top w:w="80" w:type="dxa"/>
              <w:start w:w="120" w:type="dxa"/>
              <w:bottom w:w="80" w:type="dxa"/>
              <w:end w:w="120" w:type="dxa"/>
            </w:tcMar>
            <w:shd w:fill="FFFFFF"/>
          </w:tcPr>
          <w:p>
            <w:pPr>
              <w:spacing w:after="0"/>
            </w:pPr>
            <w:r/>
            <w:r>
              <w:rPr>
                <w:rFonts w:ascii="Calibri" w:hAnsi="Calibri"/>
                <w:b w:val="0"/>
                <w:color w:val="24323A"/>
                <w:sz w:val="15"/>
              </w:rPr>
              <w:t>Annual</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Plan redesign</w:t>
            </w:r>
          </w:p>
        </w:tc>
        <w:tc>
          <w:tcPr>
            <w:tcW w:type="dxa" w:w="3960"/>
            <w:vAlign w:val="center"/>
            <w:tcMar>
              <w:top w:w="80" w:type="dxa"/>
              <w:start w:w="120" w:type="dxa"/>
              <w:bottom w:w="80" w:type="dxa"/>
              <w:end w:w="120" w:type="dxa"/>
            </w:tcMar>
            <w:shd w:fill="FFFFFF"/>
          </w:tcPr>
          <w:p>
            <w:pPr>
              <w:spacing w:after="0"/>
            </w:pPr>
            <w:r/>
            <w:r>
              <w:rPr>
                <w:rFonts w:ascii="Calibri" w:hAnsi="Calibri"/>
                <w:b w:val="0"/>
                <w:color w:val="24323A"/>
                <w:sz w:val="15"/>
              </w:rPr>
              <w:t>Strategy, roles, measures, rates, quotas and governance</w:t>
            </w:r>
          </w:p>
        </w:tc>
        <w:tc>
          <w:tcPr>
            <w:tcW w:type="dxa" w:w="2376"/>
            <w:vAlign w:val="center"/>
            <w:tcMar>
              <w:top w:w="80" w:type="dxa"/>
              <w:start w:w="120" w:type="dxa"/>
              <w:bottom w:w="80" w:type="dxa"/>
              <w:end w:w="120" w:type="dxa"/>
            </w:tcMar>
            <w:shd w:fill="FFFFFF"/>
          </w:tcPr>
          <w:p>
            <w:pPr>
              <w:spacing w:after="0"/>
            </w:pPr>
            <w:r/>
            <w:r>
              <w:rPr>
                <w:rFonts w:ascii="Calibri" w:hAnsi="Calibri"/>
                <w:b w:val="0"/>
                <w:color w:val="24323A"/>
                <w:sz w:val="15"/>
              </w:rPr>
              <w:t>Full planning system</w:t>
            </w:r>
          </w:p>
        </w:tc>
      </w:tr>
    </w:tbl>
    <w:p>
      <w:pPr>
        <w:spacing w:after="0"/>
      </w:pPr>
    </w:p>
    <w:p>
      <w:pPr>
        <w:pStyle w:val="Heading2"/>
      </w:pPr>
      <w:r>
        <w:t>Decision rights</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c>
          <w:tcPr>
            <w:tcW w:type="dxa" w:w="2448"/>
            <w:vAlign w:val="center"/>
            <w:tcMar>
              <w:top w:w="80" w:type="dxa"/>
              <w:start w:w="120" w:type="dxa"/>
              <w:bottom w:w="80" w:type="dxa"/>
              <w:end w:w="120" w:type="dxa"/>
            </w:tcMar>
            <w:shd w:fill="132E3A"/>
          </w:tcPr>
          <w:p>
            <w:pPr>
              <w:spacing w:after="0"/>
            </w:pPr>
            <w:r/>
            <w:r>
              <w:rPr>
                <w:rFonts w:ascii="Calibri" w:hAnsi="Calibri"/>
                <w:b/>
                <w:color w:val="FFFFFF"/>
                <w:sz w:val="15"/>
              </w:rPr>
              <w:t>DECISION</w:t>
            </w:r>
          </w:p>
        </w:tc>
        <w:tc>
          <w:tcPr>
            <w:tcW w:type="dxa" w:w="2232"/>
            <w:vAlign w:val="center"/>
            <w:tcMar>
              <w:top w:w="80" w:type="dxa"/>
              <w:start w:w="120" w:type="dxa"/>
              <w:bottom w:w="80" w:type="dxa"/>
              <w:end w:w="120" w:type="dxa"/>
            </w:tcMar>
            <w:shd w:fill="132E3A"/>
          </w:tcPr>
          <w:p>
            <w:pPr>
              <w:spacing w:after="0"/>
            </w:pPr>
            <w:r/>
            <w:r>
              <w:rPr>
                <w:rFonts w:ascii="Calibri" w:hAnsi="Calibri"/>
                <w:b/>
                <w:color w:val="FFFFFF"/>
                <w:sz w:val="15"/>
              </w:rPr>
              <w:t>RECOMMENDS</w:t>
            </w:r>
          </w:p>
        </w:tc>
        <w:tc>
          <w:tcPr>
            <w:tcW w:type="dxa" w:w="2232"/>
            <w:vAlign w:val="center"/>
            <w:tcMar>
              <w:top w:w="80" w:type="dxa"/>
              <w:start w:w="120" w:type="dxa"/>
              <w:bottom w:w="80" w:type="dxa"/>
              <w:end w:w="120" w:type="dxa"/>
            </w:tcMar>
            <w:shd w:fill="132E3A"/>
          </w:tcPr>
          <w:p>
            <w:pPr>
              <w:spacing w:after="0"/>
            </w:pPr>
            <w:r/>
            <w:r>
              <w:rPr>
                <w:rFonts w:ascii="Calibri" w:hAnsi="Calibri"/>
                <w:b/>
                <w:color w:val="FFFFFF"/>
                <w:sz w:val="15"/>
              </w:rPr>
              <w:t>APPROVES</w:t>
            </w:r>
          </w:p>
        </w:tc>
        <w:tc>
          <w:tcPr>
            <w:tcW w:type="dxa" w:w="2304"/>
            <w:vAlign w:val="center"/>
            <w:tcMar>
              <w:top w:w="80" w:type="dxa"/>
              <w:start w:w="120" w:type="dxa"/>
              <w:bottom w:w="80" w:type="dxa"/>
              <w:end w:w="120" w:type="dxa"/>
            </w:tcMar>
            <w:shd w:fill="132E3A"/>
          </w:tcPr>
          <w:p>
            <w:pPr>
              <w:spacing w:after="0"/>
            </w:pPr>
            <w:r/>
            <w:r>
              <w:rPr>
                <w:rFonts w:ascii="Calibri" w:hAnsi="Calibri"/>
                <w:b/>
                <w:color w:val="FFFFFF"/>
                <w:sz w:val="15"/>
              </w:rPr>
              <w:t>CONSULTED</w:t>
            </w:r>
          </w:p>
        </w:tc>
      </w:tr>
      <w:tr>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Bookings / ARR target</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CFO + CRO</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CEO / Board</w:t>
            </w:r>
          </w:p>
        </w:tc>
        <w:tc>
          <w:tcPr>
            <w:tcW w:type="dxa" w:w="2304"/>
            <w:vAlign w:val="center"/>
            <w:tcMar>
              <w:top w:w="80" w:type="dxa"/>
              <w:start w:w="120" w:type="dxa"/>
              <w:bottom w:w="80" w:type="dxa"/>
              <w:end w:w="120" w:type="dxa"/>
            </w:tcMar>
            <w:shd w:fill="FFFFFF"/>
          </w:tcPr>
          <w:p>
            <w:pPr>
              <w:spacing w:after="0"/>
            </w:pPr>
            <w:r/>
            <w:r>
              <w:rPr>
                <w:rFonts w:ascii="Calibri" w:hAnsi="Calibri"/>
                <w:b w:val="0"/>
                <w:color w:val="24323A"/>
                <w:sz w:val="15"/>
              </w:rPr>
              <w:t>CMO, Product</w:t>
            </w:r>
          </w:p>
        </w:tc>
      </w:tr>
      <w:tr>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Segments and motions</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CRO + CMO</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CEO</w:t>
            </w:r>
          </w:p>
        </w:tc>
        <w:tc>
          <w:tcPr>
            <w:tcW w:type="dxa" w:w="2304"/>
            <w:vAlign w:val="center"/>
            <w:tcMar>
              <w:top w:w="80" w:type="dxa"/>
              <w:start w:w="120" w:type="dxa"/>
              <w:bottom w:w="80" w:type="dxa"/>
              <w:end w:w="120" w:type="dxa"/>
            </w:tcMar>
            <w:shd w:fill="F4F7F8"/>
          </w:tcPr>
          <w:p>
            <w:pPr>
              <w:spacing w:after="0"/>
            </w:pPr>
            <w:r/>
            <w:r>
              <w:rPr>
                <w:rFonts w:ascii="Calibri" w:hAnsi="Calibri"/>
                <w:b w:val="0"/>
                <w:color w:val="24323A"/>
                <w:sz w:val="15"/>
              </w:rPr>
              <w:t>Finance, Product</w:t>
            </w:r>
          </w:p>
        </w:tc>
      </w:tr>
      <w:tr>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Territories and quotas</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Sales + RevOps</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CRO</w:t>
            </w:r>
          </w:p>
        </w:tc>
        <w:tc>
          <w:tcPr>
            <w:tcW w:type="dxa" w:w="2304"/>
            <w:vAlign w:val="center"/>
            <w:tcMar>
              <w:top w:w="80" w:type="dxa"/>
              <w:start w:w="120" w:type="dxa"/>
              <w:bottom w:w="80" w:type="dxa"/>
              <w:end w:w="120" w:type="dxa"/>
            </w:tcMar>
            <w:shd w:fill="FFFFFF"/>
          </w:tcPr>
          <w:p>
            <w:pPr>
              <w:spacing w:after="0"/>
            </w:pPr>
            <w:r/>
            <w:r>
              <w:rPr>
                <w:rFonts w:ascii="Calibri" w:hAnsi="Calibri"/>
                <w:b w:val="0"/>
                <w:color w:val="24323A"/>
                <w:sz w:val="15"/>
              </w:rPr>
              <w:t>Finance, HR</w:t>
            </w:r>
          </w:p>
        </w:tc>
      </w:tr>
      <w:tr>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Compensation plans</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Sales + RevOps</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CRO + CFO + HR</w:t>
            </w:r>
          </w:p>
        </w:tc>
        <w:tc>
          <w:tcPr>
            <w:tcW w:type="dxa" w:w="2304"/>
            <w:vAlign w:val="center"/>
            <w:tcMar>
              <w:top w:w="80" w:type="dxa"/>
              <w:start w:w="120" w:type="dxa"/>
              <w:bottom w:w="80" w:type="dxa"/>
              <w:end w:w="120" w:type="dxa"/>
            </w:tcMar>
            <w:shd w:fill="F4F7F8"/>
          </w:tcPr>
          <w:p>
            <w:pPr>
              <w:spacing w:after="0"/>
            </w:pPr>
            <w:r/>
            <w:r>
              <w:rPr>
                <w:rFonts w:ascii="Calibri" w:hAnsi="Calibri"/>
                <w:b w:val="0"/>
                <w:color w:val="24323A"/>
                <w:sz w:val="15"/>
              </w:rPr>
              <w:t>Legal, Payroll, Systems</w:t>
            </w:r>
          </w:p>
        </w:tc>
      </w:tr>
      <w:tr>
        <w:tc>
          <w:tcPr>
            <w:tcW w:type="dxa" w:w="2448"/>
            <w:vAlign w:val="center"/>
            <w:tcMar>
              <w:top w:w="80" w:type="dxa"/>
              <w:start w:w="120" w:type="dxa"/>
              <w:bottom w:w="80" w:type="dxa"/>
              <w:end w:w="120" w:type="dxa"/>
            </w:tcMar>
            <w:shd w:fill="FFFFFF"/>
          </w:tcPr>
          <w:p>
            <w:pPr>
              <w:spacing w:after="0"/>
            </w:pPr>
            <w:r/>
            <w:r>
              <w:rPr>
                <w:rFonts w:ascii="Calibri" w:hAnsi="Calibri"/>
                <w:b w:val="0"/>
                <w:color w:val="24323A"/>
                <w:sz w:val="15"/>
              </w:rPr>
              <w:t>Forecast policy</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RevOps + Sales</w:t>
            </w:r>
          </w:p>
        </w:tc>
        <w:tc>
          <w:tcPr>
            <w:tcW w:type="dxa" w:w="2232"/>
            <w:vAlign w:val="center"/>
            <w:tcMar>
              <w:top w:w="80" w:type="dxa"/>
              <w:start w:w="120" w:type="dxa"/>
              <w:bottom w:w="80" w:type="dxa"/>
              <w:end w:w="120" w:type="dxa"/>
            </w:tcMar>
            <w:shd w:fill="FFFFFF"/>
          </w:tcPr>
          <w:p>
            <w:pPr>
              <w:spacing w:after="0"/>
            </w:pPr>
            <w:r/>
            <w:r>
              <w:rPr>
                <w:rFonts w:ascii="Calibri" w:hAnsi="Calibri"/>
                <w:b w:val="0"/>
                <w:color w:val="24323A"/>
                <w:sz w:val="15"/>
              </w:rPr>
              <w:t>CRO</w:t>
            </w:r>
          </w:p>
        </w:tc>
        <w:tc>
          <w:tcPr>
            <w:tcW w:type="dxa" w:w="2304"/>
            <w:vAlign w:val="center"/>
            <w:tcMar>
              <w:top w:w="80" w:type="dxa"/>
              <w:start w:w="120" w:type="dxa"/>
              <w:bottom w:w="80" w:type="dxa"/>
              <w:end w:w="120" w:type="dxa"/>
            </w:tcMar>
            <w:shd w:fill="FFFFFF"/>
          </w:tcPr>
          <w:p>
            <w:pPr>
              <w:spacing w:after="0"/>
            </w:pPr>
            <w:r/>
            <w:r>
              <w:rPr>
                <w:rFonts w:ascii="Calibri" w:hAnsi="Calibri"/>
                <w:b w:val="0"/>
                <w:color w:val="24323A"/>
                <w:sz w:val="15"/>
              </w:rPr>
              <w:t>Finance</w:t>
            </w:r>
          </w:p>
        </w:tc>
      </w:tr>
      <w:tr>
        <w:tc>
          <w:tcPr>
            <w:tcW w:type="dxa" w:w="2448"/>
            <w:vAlign w:val="center"/>
            <w:tcMar>
              <w:top w:w="80" w:type="dxa"/>
              <w:start w:w="120" w:type="dxa"/>
              <w:bottom w:w="80" w:type="dxa"/>
              <w:end w:w="120" w:type="dxa"/>
            </w:tcMar>
            <w:shd w:fill="F4F7F8"/>
          </w:tcPr>
          <w:p>
            <w:pPr>
              <w:spacing w:after="0"/>
            </w:pPr>
            <w:r/>
            <w:r>
              <w:rPr>
                <w:rFonts w:ascii="Calibri" w:hAnsi="Calibri"/>
                <w:b w:val="0"/>
                <w:color w:val="24323A"/>
                <w:sz w:val="15"/>
              </w:rPr>
              <w:t>Metric definitions</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RevOps / Data</w:t>
            </w:r>
          </w:p>
        </w:tc>
        <w:tc>
          <w:tcPr>
            <w:tcW w:type="dxa" w:w="2232"/>
            <w:vAlign w:val="center"/>
            <w:tcMar>
              <w:top w:w="80" w:type="dxa"/>
              <w:start w:w="120" w:type="dxa"/>
              <w:bottom w:w="80" w:type="dxa"/>
              <w:end w:w="120" w:type="dxa"/>
            </w:tcMar>
            <w:shd w:fill="F4F7F8"/>
          </w:tcPr>
          <w:p>
            <w:pPr>
              <w:spacing w:after="0"/>
            </w:pPr>
            <w:r/>
            <w:r>
              <w:rPr>
                <w:rFonts w:ascii="Calibri" w:hAnsi="Calibri"/>
                <w:b w:val="0"/>
                <w:color w:val="24323A"/>
                <w:sz w:val="15"/>
              </w:rPr>
              <w:t>CRO + CFO</w:t>
            </w:r>
          </w:p>
        </w:tc>
        <w:tc>
          <w:tcPr>
            <w:tcW w:type="dxa" w:w="2304"/>
            <w:vAlign w:val="center"/>
            <w:tcMar>
              <w:top w:w="80" w:type="dxa"/>
              <w:start w:w="120" w:type="dxa"/>
              <w:bottom w:w="80" w:type="dxa"/>
              <w:end w:w="120" w:type="dxa"/>
            </w:tcMar>
            <w:shd w:fill="F4F7F8"/>
          </w:tcPr>
          <w:p>
            <w:pPr>
              <w:spacing w:after="0"/>
            </w:pPr>
            <w:r/>
            <w:r>
              <w:rPr>
                <w:rFonts w:ascii="Calibri" w:hAnsi="Calibri"/>
                <w:b w:val="0"/>
                <w:color w:val="24323A"/>
                <w:sz w:val="15"/>
              </w:rPr>
              <w:t>Functional owners</w:t>
            </w:r>
          </w:p>
        </w:tc>
      </w:tr>
    </w:tbl>
    <w:p>
      <w:pPr>
        <w:spacing w:after="0"/>
      </w:pPr>
    </w:p>
    <w:tbl>
      <w:tblPr>
        <w:tblW w:type="auto" w:w="0"/>
        <w:tblLayout w:type="fixed"/>
        <w:tblLook w:firstColumn="1" w:firstRow="1" w:lastColumn="0" w:lastRow="0" w:noHBand="0" w:noVBand="1" w:val="04A0"/>
      </w:tblPr>
      <w:tblGrid>
        <w:gridCol w:w="9878"/>
      </w:tblGrid>
      <w:tr>
        <w:tc>
          <w:tcPr>
            <w:tcW w:type="dxa" w:w="9878"/>
            <w:shd w:fill="E6F1EC"/>
            <w:tcMar>
              <w:top w:w="120" w:type="dxa"/>
              <w:start w:w="150" w:type="dxa"/>
              <w:bottom w:w="120" w:type="dxa"/>
              <w:end w:w="150" w:type="dxa"/>
            </w:tcMar>
          </w:tcPr>
          <w:p>
            <w:r/>
            <w:r>
              <w:rPr>
                <w:rFonts w:ascii="Calibri" w:hAnsi="Calibri"/>
                <w:b/>
                <w:color w:val="132E3A"/>
                <w:sz w:val="18"/>
              </w:rPr>
              <w:t xml:space="preserve">OPERATING PRINCIPLE  </w:t>
            </w:r>
            <w:r>
              <w:rPr>
                <w:rFonts w:ascii="Calibri" w:hAnsi="Calibri"/>
                <w:b w:val="0"/>
                <w:color w:val="24323A"/>
                <w:sz w:val="18"/>
              </w:rPr>
              <w:t>Use the executive review to make decisions, not to discover data problems. Reconciliations, definition checks, and owner commentary should be complete before the meeting.</w:t>
            </w:r>
          </w:p>
        </w:tc>
      </w:tr>
    </w:tbl>
    <w:p>
      <w:pPr>
        <w:spacing w:after="0"/>
      </w:pPr>
    </w:p>
    <w:p>
      <w:r>
        <w:br w:type="page"/>
      </w:r>
    </w:p>
    <w:p>
      <w:pPr>
        <w:pStyle w:val="Heading1"/>
      </w:pPr>
      <w:r>
        <w:t>8. Launch readiness and first 30 days</w:t>
      </w:r>
    </w:p>
    <w:p>
      <w:pPr>
        <w:pStyle w:val="Heading2"/>
      </w:pPr>
      <w:r>
        <w:t>Before launch</w:t>
      </w:r>
    </w:p>
    <w:p>
      <w:pPr>
        <w:pStyle w:val="ListBullet"/>
        <w:spacing w:after="60"/>
      </w:pPr>
      <w:r>
        <w:t>All model versions reconciled to the approved target and workforce plan.</w:t>
      </w:r>
    </w:p>
    <w:p>
      <w:pPr>
        <w:pStyle w:val="ListBullet"/>
        <w:spacing w:after="60"/>
      </w:pPr>
      <w:r>
        <w:t>Territory and account ownership loaded; exception queue empty or explicitly accepted.</w:t>
      </w:r>
    </w:p>
    <w:p>
      <w:pPr>
        <w:pStyle w:val="ListBullet"/>
        <w:spacing w:after="60"/>
      </w:pPr>
      <w:r>
        <w:t>Quotas, comp plans and examples generated for every eligible participant.</w:t>
      </w:r>
    </w:p>
    <w:p>
      <w:pPr>
        <w:pStyle w:val="ListBullet"/>
        <w:spacing w:after="60"/>
      </w:pPr>
      <w:r>
        <w:t>CRM stages, required fields, validation rules and stage-history capture tested.</w:t>
      </w:r>
    </w:p>
    <w:p>
      <w:pPr>
        <w:pStyle w:val="ListBullet"/>
        <w:spacing w:after="60"/>
      </w:pPr>
      <w:r>
        <w:t>Forecast dashboards, pipeline coverage and executive views match source-system totals.</w:t>
      </w:r>
    </w:p>
    <w:p>
      <w:pPr>
        <w:pStyle w:val="ListBullet"/>
        <w:spacing w:after="60"/>
      </w:pPr>
      <w:r>
        <w:t>Managers trained and certified; employee communications and acknowledgment process ready.</w:t>
      </w:r>
    </w:p>
    <w:p>
      <w:pPr>
        <w:pStyle w:val="ListBullet"/>
        <w:spacing w:after="60"/>
      </w:pPr>
      <w:r>
        <w:t>Payroll/ICM parallel calculation completed for representative scenarios.</w:t>
      </w:r>
    </w:p>
    <w:p>
      <w:pPr>
        <w:pStyle w:val="Heading2"/>
      </w:pPr>
      <w:r>
        <w:t>First 30 days</w:t>
      </w:r>
    </w:p>
    <w:tbl>
      <w:tblPr>
        <w:tblStyle w:val="TableGrid"/>
        <w:tblW w:type="auto" w:w="0"/>
        <w:jc w:val="center"/>
        <w:tblLayout w:type="fixed"/>
        <w:tblLook w:firstColumn="1" w:firstRow="1" w:lastColumn="0" w:lastRow="0" w:noHBand="0" w:noVBand="1" w:val="04A0"/>
      </w:tblPr>
      <w:tblGrid>
        <w:gridCol w:w="3293"/>
        <w:gridCol w:w="3293"/>
        <w:gridCol w:w="3293"/>
      </w:tblGrid>
      <w:tr>
        <w:tc>
          <w:tcPr>
            <w:tcW w:type="dxa" w:w="1296"/>
            <w:vAlign w:val="center"/>
            <w:tcMar>
              <w:top w:w="80" w:type="dxa"/>
              <w:start w:w="120" w:type="dxa"/>
              <w:bottom w:w="80" w:type="dxa"/>
              <w:end w:w="120" w:type="dxa"/>
            </w:tcMar>
            <w:shd w:fill="132E3A"/>
          </w:tcPr>
          <w:p>
            <w:pPr>
              <w:spacing w:after="0"/>
            </w:pPr>
            <w:r/>
            <w:r>
              <w:rPr>
                <w:rFonts w:ascii="Calibri" w:hAnsi="Calibri"/>
                <w:b/>
                <w:color w:val="FFFFFF"/>
                <w:sz w:val="15"/>
              </w:rPr>
              <w:t>WHEN</w:t>
            </w:r>
          </w:p>
        </w:tc>
        <w:tc>
          <w:tcPr>
            <w:tcW w:type="dxa" w:w="3600"/>
            <w:vAlign w:val="center"/>
            <w:tcMar>
              <w:top w:w="80" w:type="dxa"/>
              <w:start w:w="120" w:type="dxa"/>
              <w:bottom w:w="80" w:type="dxa"/>
              <w:end w:w="120" w:type="dxa"/>
            </w:tcMar>
            <w:shd w:fill="132E3A"/>
          </w:tcPr>
          <w:p>
            <w:pPr>
              <w:spacing w:after="0"/>
            </w:pPr>
            <w:r/>
            <w:r>
              <w:rPr>
                <w:rFonts w:ascii="Calibri" w:hAnsi="Calibri"/>
                <w:b/>
                <w:color w:val="FFFFFF"/>
                <w:sz w:val="15"/>
              </w:rPr>
              <w:t>CONTROL</w:t>
            </w:r>
          </w:p>
        </w:tc>
        <w:tc>
          <w:tcPr>
            <w:tcW w:type="dxa" w:w="4608"/>
            <w:vAlign w:val="center"/>
            <w:tcMar>
              <w:top w:w="80" w:type="dxa"/>
              <w:start w:w="120" w:type="dxa"/>
              <w:bottom w:w="80" w:type="dxa"/>
              <w:end w:w="120" w:type="dxa"/>
            </w:tcMar>
            <w:shd w:fill="132E3A"/>
          </w:tcPr>
          <w:p>
            <w:pPr>
              <w:spacing w:after="0"/>
            </w:pPr>
            <w:r/>
            <w:r>
              <w:rPr>
                <w:rFonts w:ascii="Calibri" w:hAnsi="Calibri"/>
                <w:b/>
                <w:color w:val="FFFFFF"/>
                <w:sz w:val="15"/>
              </w:rPr>
              <w:t>EVIDENCE</w:t>
            </w:r>
          </w:p>
        </w:tc>
      </w:tr>
      <w:tr>
        <w:tc>
          <w:tcPr>
            <w:tcW w:type="dxa" w:w="1296"/>
            <w:vAlign w:val="center"/>
            <w:tcMar>
              <w:top w:w="80" w:type="dxa"/>
              <w:start w:w="120" w:type="dxa"/>
              <w:bottom w:w="80" w:type="dxa"/>
              <w:end w:w="120" w:type="dxa"/>
            </w:tcMar>
            <w:shd w:fill="FFFFFF"/>
          </w:tcPr>
          <w:p>
            <w:pPr>
              <w:spacing w:after="0"/>
            </w:pPr>
            <w:r/>
            <w:r>
              <w:rPr>
                <w:rFonts w:ascii="Calibri" w:hAnsi="Calibri"/>
                <w:b w:val="0"/>
                <w:color w:val="24323A"/>
                <w:sz w:val="16"/>
              </w:rPr>
              <w:t>Week 1</w:t>
            </w:r>
          </w:p>
        </w:tc>
        <w:tc>
          <w:tcPr>
            <w:tcW w:type="dxa" w:w="3600"/>
            <w:vAlign w:val="center"/>
            <w:tcMar>
              <w:top w:w="80" w:type="dxa"/>
              <w:start w:w="120" w:type="dxa"/>
              <w:bottom w:w="80" w:type="dxa"/>
              <w:end w:w="120" w:type="dxa"/>
            </w:tcMar>
            <w:shd w:fill="FFFFFF"/>
          </w:tcPr>
          <w:p>
            <w:pPr>
              <w:spacing w:after="0"/>
            </w:pPr>
            <w:r/>
            <w:r>
              <w:rPr>
                <w:rFonts w:ascii="Calibri" w:hAnsi="Calibri"/>
                <w:b w:val="0"/>
                <w:color w:val="24323A"/>
                <w:sz w:val="16"/>
              </w:rPr>
              <w:t>Roster, territory, quota and plan assignment audit</w:t>
            </w:r>
          </w:p>
        </w:tc>
        <w:tc>
          <w:tcPr>
            <w:tcW w:type="dxa" w:w="4608"/>
            <w:vAlign w:val="center"/>
            <w:tcMar>
              <w:top w:w="80" w:type="dxa"/>
              <w:start w:w="120" w:type="dxa"/>
              <w:bottom w:w="80" w:type="dxa"/>
              <w:end w:w="120" w:type="dxa"/>
            </w:tcMar>
            <w:shd w:fill="FFFFFF"/>
          </w:tcPr>
          <w:p>
            <w:pPr>
              <w:spacing w:after="0"/>
            </w:pPr>
            <w:r/>
            <w:r>
              <w:rPr>
                <w:rFonts w:ascii="Calibri" w:hAnsi="Calibri"/>
                <w:b w:val="0"/>
                <w:color w:val="24323A"/>
                <w:sz w:val="16"/>
              </w:rPr>
              <w:t>100% eligible employees mapped; no duplicates</w:t>
            </w:r>
          </w:p>
        </w:tc>
      </w:tr>
      <w:tr>
        <w:tc>
          <w:tcPr>
            <w:tcW w:type="dxa" w:w="1296"/>
            <w:vAlign w:val="center"/>
            <w:tcMar>
              <w:top w:w="80" w:type="dxa"/>
              <w:start w:w="120" w:type="dxa"/>
              <w:bottom w:w="80" w:type="dxa"/>
              <w:end w:w="120" w:type="dxa"/>
            </w:tcMar>
            <w:shd w:fill="F4F7F8"/>
          </w:tcPr>
          <w:p>
            <w:pPr>
              <w:spacing w:after="0"/>
            </w:pPr>
            <w:r/>
            <w:r>
              <w:rPr>
                <w:rFonts w:ascii="Calibri" w:hAnsi="Calibri"/>
                <w:b w:val="0"/>
                <w:color w:val="24323A"/>
                <w:sz w:val="16"/>
              </w:rPr>
              <w:t>Week 2</w:t>
            </w:r>
          </w:p>
        </w:tc>
        <w:tc>
          <w:tcPr>
            <w:tcW w:type="dxa" w:w="3600"/>
            <w:vAlign w:val="center"/>
            <w:tcMar>
              <w:top w:w="80" w:type="dxa"/>
              <w:start w:w="120" w:type="dxa"/>
              <w:bottom w:w="80" w:type="dxa"/>
              <w:end w:w="120" w:type="dxa"/>
            </w:tcMar>
            <w:shd w:fill="F4F7F8"/>
          </w:tcPr>
          <w:p>
            <w:pPr>
              <w:spacing w:after="0"/>
            </w:pPr>
            <w:r/>
            <w:r>
              <w:rPr>
                <w:rFonts w:ascii="Calibri" w:hAnsi="Calibri"/>
                <w:b w:val="0"/>
                <w:color w:val="24323A"/>
                <w:sz w:val="16"/>
              </w:rPr>
              <w:t>Pipeline and stage-history audit</w:t>
            </w:r>
          </w:p>
        </w:tc>
        <w:tc>
          <w:tcPr>
            <w:tcW w:type="dxa" w:w="4608"/>
            <w:vAlign w:val="center"/>
            <w:tcMar>
              <w:top w:w="80" w:type="dxa"/>
              <w:start w:w="120" w:type="dxa"/>
              <w:bottom w:w="80" w:type="dxa"/>
              <w:end w:w="120" w:type="dxa"/>
            </w:tcMar>
            <w:shd w:fill="F4F7F8"/>
          </w:tcPr>
          <w:p>
            <w:pPr>
              <w:spacing w:after="0"/>
            </w:pPr>
            <w:r/>
            <w:r>
              <w:rPr>
                <w:rFonts w:ascii="Calibri" w:hAnsi="Calibri"/>
                <w:b w:val="0"/>
                <w:color w:val="24323A"/>
                <w:sz w:val="16"/>
              </w:rPr>
              <w:t>Required fields and timestamps present; exception list owned</w:t>
            </w:r>
          </w:p>
        </w:tc>
      </w:tr>
      <w:tr>
        <w:tc>
          <w:tcPr>
            <w:tcW w:type="dxa" w:w="1296"/>
            <w:vAlign w:val="center"/>
            <w:tcMar>
              <w:top w:w="80" w:type="dxa"/>
              <w:start w:w="120" w:type="dxa"/>
              <w:bottom w:w="80" w:type="dxa"/>
              <w:end w:w="120" w:type="dxa"/>
            </w:tcMar>
            <w:shd w:fill="FFFFFF"/>
          </w:tcPr>
          <w:p>
            <w:pPr>
              <w:spacing w:after="0"/>
            </w:pPr>
            <w:r/>
            <w:r>
              <w:rPr>
                <w:rFonts w:ascii="Calibri" w:hAnsi="Calibri"/>
                <w:b w:val="0"/>
                <w:color w:val="24323A"/>
                <w:sz w:val="16"/>
              </w:rPr>
              <w:t>Week 3</w:t>
            </w:r>
          </w:p>
        </w:tc>
        <w:tc>
          <w:tcPr>
            <w:tcW w:type="dxa" w:w="3600"/>
            <w:vAlign w:val="center"/>
            <w:tcMar>
              <w:top w:w="80" w:type="dxa"/>
              <w:start w:w="120" w:type="dxa"/>
              <w:bottom w:w="80" w:type="dxa"/>
              <w:end w:w="120" w:type="dxa"/>
            </w:tcMar>
            <w:shd w:fill="FFFFFF"/>
          </w:tcPr>
          <w:p>
            <w:pPr>
              <w:spacing w:after="0"/>
            </w:pPr>
            <w:r/>
            <w:r>
              <w:rPr>
                <w:rFonts w:ascii="Calibri" w:hAnsi="Calibri"/>
                <w:b w:val="0"/>
                <w:color w:val="24323A"/>
                <w:sz w:val="16"/>
              </w:rPr>
              <w:t>Forecast calibration</w:t>
            </w:r>
          </w:p>
        </w:tc>
        <w:tc>
          <w:tcPr>
            <w:tcW w:type="dxa" w:w="4608"/>
            <w:vAlign w:val="center"/>
            <w:tcMar>
              <w:top w:w="80" w:type="dxa"/>
              <w:start w:w="120" w:type="dxa"/>
              <w:bottom w:w="80" w:type="dxa"/>
              <w:end w:w="120" w:type="dxa"/>
            </w:tcMar>
            <w:shd w:fill="FFFFFF"/>
          </w:tcPr>
          <w:p>
            <w:pPr>
              <w:spacing w:after="0"/>
            </w:pPr>
            <w:r/>
            <w:r>
              <w:rPr>
                <w:rFonts w:ascii="Calibri" w:hAnsi="Calibri"/>
                <w:b w:val="0"/>
                <w:color w:val="24323A"/>
                <w:sz w:val="16"/>
              </w:rPr>
              <w:t>Category conversion and manager bias reviewed</w:t>
            </w:r>
          </w:p>
        </w:tc>
      </w:tr>
      <w:tr>
        <w:tc>
          <w:tcPr>
            <w:tcW w:type="dxa" w:w="1296"/>
            <w:vAlign w:val="center"/>
            <w:tcMar>
              <w:top w:w="80" w:type="dxa"/>
              <w:start w:w="120" w:type="dxa"/>
              <w:bottom w:w="80" w:type="dxa"/>
              <w:end w:w="120" w:type="dxa"/>
            </w:tcMar>
            <w:shd w:fill="F4F7F8"/>
          </w:tcPr>
          <w:p>
            <w:pPr>
              <w:spacing w:after="0"/>
            </w:pPr>
            <w:r/>
            <w:r>
              <w:rPr>
                <w:rFonts w:ascii="Calibri" w:hAnsi="Calibri"/>
                <w:b w:val="0"/>
                <w:color w:val="24323A"/>
                <w:sz w:val="16"/>
              </w:rPr>
              <w:t>Week 4</w:t>
            </w:r>
          </w:p>
        </w:tc>
        <w:tc>
          <w:tcPr>
            <w:tcW w:type="dxa" w:w="3600"/>
            <w:vAlign w:val="center"/>
            <w:tcMar>
              <w:top w:w="80" w:type="dxa"/>
              <w:start w:w="120" w:type="dxa"/>
              <w:bottom w:w="80" w:type="dxa"/>
              <w:end w:w="120" w:type="dxa"/>
            </w:tcMar>
            <w:shd w:fill="F4F7F8"/>
          </w:tcPr>
          <w:p>
            <w:pPr>
              <w:spacing w:after="0"/>
            </w:pPr>
            <w:r/>
            <w:r>
              <w:rPr>
                <w:rFonts w:ascii="Calibri" w:hAnsi="Calibri"/>
                <w:b w:val="0"/>
                <w:color w:val="24323A"/>
                <w:sz w:val="16"/>
              </w:rPr>
              <w:t>First crediting / payout preview</w:t>
            </w:r>
          </w:p>
        </w:tc>
        <w:tc>
          <w:tcPr>
            <w:tcW w:type="dxa" w:w="4608"/>
            <w:vAlign w:val="center"/>
            <w:tcMar>
              <w:top w:w="80" w:type="dxa"/>
              <w:start w:w="120" w:type="dxa"/>
              <w:bottom w:w="80" w:type="dxa"/>
              <w:end w:w="120" w:type="dxa"/>
            </w:tcMar>
            <w:shd w:fill="F4F7F8"/>
          </w:tcPr>
          <w:p>
            <w:pPr>
              <w:spacing w:after="0"/>
            </w:pPr>
            <w:r/>
            <w:r>
              <w:rPr>
                <w:rFonts w:ascii="Calibri" w:hAnsi="Calibri"/>
                <w:b w:val="0"/>
                <w:color w:val="24323A"/>
                <w:sz w:val="16"/>
              </w:rPr>
              <w:t>Source-to-credit trace, splits, adjustments and approvals reconcile</w:t>
            </w:r>
          </w:p>
        </w:tc>
      </w:tr>
      <w:tr>
        <w:tc>
          <w:tcPr>
            <w:tcW w:type="dxa" w:w="1296"/>
            <w:vAlign w:val="center"/>
            <w:tcMar>
              <w:top w:w="80" w:type="dxa"/>
              <w:start w:w="120" w:type="dxa"/>
              <w:bottom w:w="80" w:type="dxa"/>
              <w:end w:w="120" w:type="dxa"/>
            </w:tcMar>
            <w:shd w:fill="FFFFFF"/>
          </w:tcPr>
          <w:p>
            <w:pPr>
              <w:spacing w:after="0"/>
            </w:pPr>
            <w:r/>
            <w:r>
              <w:rPr>
                <w:rFonts w:ascii="Calibri" w:hAnsi="Calibri"/>
                <w:b w:val="0"/>
                <w:color w:val="24323A"/>
                <w:sz w:val="16"/>
              </w:rPr>
              <w:t>Day 30</w:t>
            </w:r>
          </w:p>
        </w:tc>
        <w:tc>
          <w:tcPr>
            <w:tcW w:type="dxa" w:w="3600"/>
            <w:vAlign w:val="center"/>
            <w:tcMar>
              <w:top w:w="80" w:type="dxa"/>
              <w:start w:w="120" w:type="dxa"/>
              <w:bottom w:w="80" w:type="dxa"/>
              <w:end w:w="120" w:type="dxa"/>
            </w:tcMar>
            <w:shd w:fill="FFFFFF"/>
          </w:tcPr>
          <w:p>
            <w:pPr>
              <w:spacing w:after="0"/>
            </w:pPr>
            <w:r/>
            <w:r>
              <w:rPr>
                <w:rFonts w:ascii="Calibri" w:hAnsi="Calibri"/>
                <w:b w:val="0"/>
                <w:color w:val="24323A"/>
                <w:sz w:val="16"/>
              </w:rPr>
              <w:t>Stabilization gate</w:t>
            </w:r>
          </w:p>
        </w:tc>
        <w:tc>
          <w:tcPr>
            <w:tcW w:type="dxa" w:w="4608"/>
            <w:vAlign w:val="center"/>
            <w:tcMar>
              <w:top w:w="80" w:type="dxa"/>
              <w:start w:w="120" w:type="dxa"/>
              <w:bottom w:w="80" w:type="dxa"/>
              <w:end w:w="120" w:type="dxa"/>
            </w:tcMar>
            <w:shd w:fill="FFFFFF"/>
          </w:tcPr>
          <w:p>
            <w:pPr>
              <w:spacing w:after="0"/>
            </w:pPr>
            <w:r/>
            <w:r>
              <w:rPr>
                <w:rFonts w:ascii="Calibri" w:hAnsi="Calibri"/>
                <w:b w:val="0"/>
                <w:color w:val="24323A"/>
                <w:sz w:val="16"/>
              </w:rPr>
              <w:t>Open issues, policy changes and training gaps assigned</w:t>
            </w:r>
          </w:p>
        </w:tc>
      </w:tr>
    </w:tbl>
    <w:p>
      <w:pPr>
        <w:spacing w:after="0"/>
      </w:pPr>
    </w:p>
    <w:p>
      <w:pPr>
        <w:pStyle w:val="Heading2"/>
      </w:pPr>
      <w:r>
        <w:t>Success measures for the planning process</w:t>
      </w:r>
    </w:p>
    <w:p>
      <w:pPr>
        <w:pStyle w:val="ListBullet"/>
        <w:spacing w:after="60"/>
      </w:pPr>
      <w:r>
        <w:t>Models reconcile without manual bridge adjustments.</w:t>
      </w:r>
    </w:p>
    <w:p>
      <w:pPr>
        <w:pStyle w:val="ListBullet"/>
        <w:spacing w:after="60"/>
      </w:pPr>
      <w:r>
        <w:t>At least 80% of quota-bearing roles receive final territory, quota and plan before day one.</w:t>
      </w:r>
    </w:p>
    <w:p>
      <w:pPr>
        <w:pStyle w:val="ListBullet"/>
        <w:spacing w:after="60"/>
      </w:pPr>
      <w:r>
        <w:t>Forecast, pipeline, bookings and compensation use the same segment and motion taxonomy.</w:t>
      </w:r>
    </w:p>
    <w:p>
      <w:pPr>
        <w:pStyle w:val="ListBullet"/>
        <w:spacing w:after="60"/>
      </w:pPr>
      <w:r>
        <w:t>First-cycle payout exceptions are low, categorized and resolved within SLA.</w:t>
      </w:r>
    </w:p>
    <w:p>
      <w:pPr>
        <w:pStyle w:val="ListBullet"/>
        <w:spacing w:after="60"/>
      </w:pPr>
      <w:r>
        <w:t>Managers can explain target, coverage, quota logic and payout mechanics consistently.</w:t>
      </w:r>
    </w:p>
    <w:p>
      <w:r>
        <w:br w:type="page"/>
      </w:r>
    </w:p>
    <w:p>
      <w:pPr>
        <w:pStyle w:val="Heading1"/>
      </w:pPr>
      <w:r>
        <w:t>9. Source notes and further reading</w:t>
      </w:r>
    </w:p>
    <w:p>
      <w:hyperlink r:id="rId21">
        <w:r>
          <w:rPr>
            <w:color w:val="1E4C86"/>
            <w:u w:val="single"/>
            <w:b/>
          </w:rPr>
          <w:t>WorldatWork — 6 keys to sales compensation plan design</w:t>
        </w:r>
      </w:hyperlink>
      <w:r>
        <w:rPr>
          <w:rFonts w:ascii="Calibri" w:hAnsi="Calibri"/>
          <w:b w:val="0"/>
          <w:color w:val="24323A"/>
        </w:rPr>
        <w:t xml:space="preserve"> — Role design, pay mix, measure types and mechanics.</w:t>
      </w:r>
    </w:p>
    <w:p>
      <w:hyperlink r:id="rId22">
        <w:r>
          <w:rPr>
            <w:color w:val="1E4C86"/>
            <w:u w:val="single"/>
            <w:b/>
          </w:rPr>
          <w:t>WorldatWork — individual vs. team measures</w:t>
        </w:r>
      </w:hyperlink>
      <w:r>
        <w:rPr>
          <w:rFonts w:ascii="Calibri" w:hAnsi="Calibri"/>
          <w:b w:val="0"/>
          <w:color w:val="24323A"/>
        </w:rPr>
        <w:t xml:space="preserve"> — Use a small number of measures aligned to influence and collaboration.</w:t>
      </w:r>
    </w:p>
    <w:p>
      <w:hyperlink r:id="rId23">
        <w:r>
          <w:rPr>
            <w:color w:val="1E4C86"/>
            <w:u w:val="single"/>
            <w:b/>
          </w:rPr>
          <w:t>WorldatWork — power of pay for performance</w:t>
        </w:r>
      </w:hyperlink>
      <w:r>
        <w:rPr>
          <w:rFonts w:ascii="Calibri" w:hAnsi="Calibri"/>
          <w:b w:val="0"/>
          <w:color w:val="24323A"/>
        </w:rPr>
        <w:t xml:space="preserve"> — Design the job before designing the incentive.</w:t>
      </w:r>
    </w:p>
    <w:p>
      <w:hyperlink r:id="rId24">
        <w:r>
          <w:rPr>
            <w:color w:val="1E4C86"/>
            <w:u w:val="single"/>
            <w:b/>
          </w:rPr>
          <w:t>Alexander Group — thresholds</w:t>
        </w:r>
      </w:hyperlink>
      <w:r>
        <w:rPr>
          <w:rFonts w:ascii="Calibri" w:hAnsi="Calibri"/>
          <w:b w:val="0"/>
          <w:color w:val="24323A"/>
        </w:rPr>
        <w:t xml:space="preserve"> — Model cost and behavior before using thresholds.</w:t>
      </w:r>
    </w:p>
    <w:p>
      <w:hyperlink r:id="rId25">
        <w:r>
          <w:rPr>
            <w:color w:val="1E4C86"/>
            <w:u w:val="single"/>
            <w:b/>
          </w:rPr>
          <w:t>Alexander Group — design goalposts</w:t>
        </w:r>
      </w:hyperlink>
      <w:r>
        <w:rPr>
          <w:rFonts w:ascii="Calibri" w:hAnsi="Calibri"/>
          <w:b w:val="0"/>
          <w:color w:val="24323A"/>
        </w:rPr>
        <w:t xml:space="preserve"> — Use explicit design standards across plans.</w:t>
      </w:r>
    </w:p>
    <w:p>
      <w:hyperlink r:id="rId26">
        <w:r>
          <w:rPr>
            <w:color w:val="1E4C86"/>
            <w:u w:val="single"/>
            <w:b/>
          </w:rPr>
          <w:t>Alexander Group — linked formula design</w:t>
        </w:r>
      </w:hyperlink>
      <w:r>
        <w:rPr>
          <w:rFonts w:ascii="Calibri" w:hAnsi="Calibri"/>
          <w:b w:val="0"/>
          <w:color w:val="24323A"/>
        </w:rPr>
        <w:t xml:space="preserve"> — Use gates and multipliers only when the strategic logic is clear.</w:t>
      </w:r>
    </w:p>
    <w:p>
      <w:hyperlink r:id="rId27">
        <w:r>
          <w:rPr>
            <w:color w:val="1E4C86"/>
            <w:u w:val="single"/>
            <w:b/>
          </w:rPr>
          <w:t>CaptivateIQ — enterprise incentive planning</w:t>
        </w:r>
      </w:hyperlink>
      <w:r>
        <w:rPr>
          <w:rFonts w:ascii="Calibri" w:hAnsi="Calibri"/>
          <w:b w:val="0"/>
          <w:color w:val="24323A"/>
        </w:rPr>
        <w:t xml:space="preserve"> — Ramp, draws, plan rules, testing and communication.</w:t>
      </w:r>
    </w:p>
    <w:p>
      <w:hyperlink r:id="rId28">
        <w:r>
          <w:rPr>
            <w:color w:val="1E4C86"/>
            <w:u w:val="single"/>
            <w:b/>
          </w:rPr>
          <w:t>QuotaPath — accelerator plans</w:t>
        </w:r>
      </w:hyperlink>
      <w:r>
        <w:rPr>
          <w:rFonts w:ascii="Calibri" w:hAnsi="Calibri"/>
          <w:b w:val="0"/>
          <w:color w:val="24323A"/>
        </w:rPr>
        <w:t xml:space="preserve"> — Accelerator bands, tiers, caps and examples.</w:t>
      </w:r>
    </w:p>
    <w:p>
      <w:pPr>
        <w:pStyle w:val="Heading1"/>
      </w:pPr>
      <w:r>
        <w:t>Complete tool directory</w:t>
      </w:r>
    </w:p>
    <w:p>
      <w:pPr>
        <w:pStyle w:val="ListBullet"/>
      </w:pPr>
      <w:hyperlink r:id="rId11">
        <w:r>
          <w:rPr>
            <w:color w:val="1E4C86"/>
            <w:u w:val="single"/>
            <w:b/>
          </w:rPr>
          <w:t>Bookings target</w:t>
        </w:r>
      </w:hyperlink>
    </w:p>
    <w:p>
      <w:pPr>
        <w:pStyle w:val="ListBullet"/>
      </w:pPr>
      <w:hyperlink r:id="rId17">
        <w:r>
          <w:rPr>
            <w:color w:val="1E4C86"/>
            <w:u w:val="single"/>
            <w:b/>
          </w:rPr>
          <w:t>Quota allocation</w:t>
        </w:r>
      </w:hyperlink>
    </w:p>
    <w:p>
      <w:pPr>
        <w:pStyle w:val="ListBullet"/>
      </w:pPr>
      <w:hyperlink r:id="rId16">
        <w:r>
          <w:rPr>
            <w:color w:val="1E4C86"/>
            <w:u w:val="single"/>
            <w:b/>
          </w:rPr>
          <w:t>Marketing plan</w:t>
        </w:r>
      </w:hyperlink>
    </w:p>
    <w:p>
      <w:pPr>
        <w:pStyle w:val="ListBullet"/>
      </w:pPr>
      <w:hyperlink r:id="rId15">
        <w:r>
          <w:rPr>
            <w:color w:val="1E4C86"/>
            <w:u w:val="single"/>
            <w:b/>
          </w:rPr>
          <w:t>Pipeline plan</w:t>
        </w:r>
      </w:hyperlink>
    </w:p>
    <w:p>
      <w:pPr>
        <w:pStyle w:val="ListBullet"/>
      </w:pPr>
      <w:hyperlink r:id="rId14">
        <w:r>
          <w:rPr>
            <w:color w:val="1E4C86"/>
            <w:u w:val="single"/>
            <w:b/>
          </w:rPr>
          <w:t>Capacity plan</w:t>
        </w:r>
      </w:hyperlink>
    </w:p>
    <w:p>
      <w:pPr>
        <w:pStyle w:val="ListBullet"/>
      </w:pPr>
      <w:hyperlink r:id="rId19">
        <w:r>
          <w:rPr>
            <w:color w:val="1E4C86"/>
            <w:u w:val="single"/>
            <w:b/>
          </w:rPr>
          <w:t>Forecast model</w:t>
        </w:r>
      </w:hyperlink>
    </w:p>
    <w:p>
      <w:pPr>
        <w:pStyle w:val="ListBullet"/>
      </w:pPr>
      <w:hyperlink r:id="rId18">
        <w:r>
          <w:rPr>
            <w:color w:val="1E4C86"/>
            <w:u w:val="single"/>
            <w:b/>
          </w:rPr>
          <w:t>Compensation design</w:t>
        </w:r>
      </w:hyperlink>
    </w:p>
    <w:p>
      <w:pPr>
        <w:pStyle w:val="ListBullet"/>
      </w:pPr>
      <w:hyperlink r:id="rId20">
        <w:r>
          <w:rPr>
            <w:color w:val="1E4C86"/>
            <w:u w:val="single"/>
            <w:b/>
          </w:rPr>
          <w:t>Executive dashboard</w:t>
        </w:r>
      </w:hyperlink>
    </w:p>
    <w:p>
      <w:pPr>
        <w:pStyle w:val="ListBullet"/>
      </w:pPr>
      <w:hyperlink r:id="rId13">
        <w:r>
          <w:rPr>
            <w:color w:val="1E4C86"/>
            <w:u w:val="single"/>
            <w:b/>
          </w:rPr>
          <w:t>Territory design</w:t>
        </w:r>
      </w:hyperlink>
    </w:p>
    <w:p>
      <w:pPr>
        <w:pStyle w:val="ListBullet"/>
      </w:pPr>
      <w:hyperlink r:id="rId12">
        <w:r>
          <w:rPr>
            <w:color w:val="1E4C86"/>
            <w:u w:val="single"/>
            <w:b/>
          </w:rPr>
          <w:t>ICP scoring</w:t>
        </w:r>
      </w:hyperlink>
    </w:p>
    <w:p>
      <w:r>
        <w:rPr>
          <w:rFonts w:ascii="Calibri" w:hAnsi="Calibri"/>
          <w:b/>
          <w:color w:val="132E3A"/>
        </w:rPr>
        <w:t xml:space="preserve">Web model hub: </w:t>
      </w:r>
      <w:hyperlink r:id="rId10">
        <w:r>
          <w:rPr>
            <w:color w:val="1E4C86"/>
            <w:u w:val="single"/>
          </w:rPr>
          <w:t>https://jessicaisenhower.com/coherence/</w:t>
        </w:r>
      </w:hyperlink>
    </w:p>
    <w:p>
      <w:pPr>
        <w:pStyle w:val="Heading1"/>
      </w:pPr>
      <w:r>
        <w:t>10. FY2027 synthetic baseline and manual handoffs</w:t>
      </w:r>
    </w:p>
    <w:p>
      <w:r>
        <w:t>Scenario revision FY2027-2026-09-16. Calendar year January 1–December 31, 2027. New + expansion ARR bookings count once on the booked date; renewal-only value, services and recognized accounting revenue are excluded. All examples are fictional and use synthetic data.</w:t>
      </w:r>
    </w:p>
    <w:p>
      <w:r>
        <w:t>Opening roster: 4 Enterprise, 3 Mid-Market and 2 SMB incumbents, all at 100% annual productive factor before attrition. Fully productive annual bookings assumptions are $2.3M, $1.5M and $900K per seller. New Enterprise, Mid-Market and SMB hires take 9, 6 and 3 months to reach full productivity under a linear ramp; this is a sensitivity rule, not the opening roster.</w:t>
      </w:r>
    </w:p>
    <w:p>
      <w:r>
        <w:t>The $24M company target includes a $18M seller-carried share. A 10% quota over-assignment creates a $19.8M assigned quota pool. The nine role weights sum to 10.7. Assigned quota is distinct from expected capacity. The $13.95M net capacity covers only 77.5% of the seller target; the shortfall remains an unresolved planning issue.</w:t>
      </w:r>
    </w:p>
    <w:p>
      <w:r>
        <w:t>Primary source shares are Marketing 30%, Partner 12%, and Sales direct 58%. Marketing win rate is 21%; Partner and Sales direct are 24%. Required FY2027 pipeline is $104.286M before actuals. The dated opening fixture has $51M open and a $53.286M pipeline creation shortfall. Opportunity counts round up at $120K average eligible deal ARR.</w:t>
      </w:r>
    </w:p>
    <w:p>
      <w:r>
        <w:t>Forecast categories are mutually exclusive: Open Pipeline 15%, Best Case 50%, Commit 85%, Closed Won 100%; Closed Lost contributes zero. Commit means open Commit only. The opening fixture has zero actual bookings and a $25.5M uncapped weighted forecast. The source/quarter/category allocation is a deterministic design choice, not historical evidence.</w:t>
      </w:r>
    </w:p>
    <w:p>
      <w:r>
        <w:t>Manual handoffs: copy changed target, shares and seasonality from Bookings into the other standalone models; copy the seller target and role factors into Quota and Capacity; copy source targets and win rates into Marketing and Pipeline; copy the resulting forecast, pipeline and capacity outputs into Executive. These files have no external workbook links or live synchronization.</w:t>
      </w:r>
    </w:p>
    <w:p>
      <w:r>
        <w:t>Limits: the example does not establish company ARR, a hiring schedule, actual market conversion, future customer outcomes, compensation administration, expansion credit splits, or payroll readiness. Territory and scoring remain illustrative. Imported CSV review on the website is separate from the synthetic forecast.</w:t>
      </w:r>
    </w:p>
    <w:sectPr w:rsidR="00FC693F" w:rsidRPr="0006063C" w:rsidSect="00034616">
      <w:footerReference w:type="default" r:id="rId9"/>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color w:val="5F6B73"/>
        <w:sz w:val="16"/>
      </w:rPr>
      <w:t xml:space="preserve">COHERENCE  •  ANNUAL PLANNING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color w:val="2432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1E4C86"/>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32E3A"/>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Calibri" w:hAnsi="Calibri"/>
      <w:b/>
      <w:bCs/>
      <w:color w:val="132E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32E3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Calibri" w:hAnsi="Calibri"/>
      <w:b w:val="0"/>
      <w:i/>
      <w:iCs/>
      <w:color w:val="5F6B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libri" w:hAnsi="Calibri"/>
      <w:sz w:val="18"/>
    </w:rPr>
  </w:style>
  <w:style w:type="paragraph" w:styleId="ListBullet2">
    <w:name w:val="List Bullet 2"/>
    <w:basedOn w:val="Normal"/>
    <w:uiPriority w:val="99"/>
    <w:unhideWhenUsed/>
    <w:rsid w:val="00326F90"/>
    <w:pPr>
      <w:numPr>
        <w:numId w:val="2"/>
      </w:numPr>
      <w:spacing w:after="40"/>
      <w:contextualSpacing/>
    </w:pPr>
    <w:rPr>
      <w:rFonts w:ascii="Calibri" w:hAnsi="Calibri"/>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libri" w:hAnsi="Calibri"/>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jessicaisenhower.com/coherence/" TargetMode="External"/><Relationship Id="rId11" Type="http://schemas.openxmlformats.org/officeDocument/2006/relationships/hyperlink" Target="https://jessicaisenhower.com/coherence/spreadsheets/coherence_bookings_model.xlsx" TargetMode="External"/><Relationship Id="rId12" Type="http://schemas.openxmlformats.org/officeDocument/2006/relationships/hyperlink" Target="https://jessicaisenhower.com/coherence/spreadsheets/coherence_scoring_model.xlsx" TargetMode="External"/><Relationship Id="rId13" Type="http://schemas.openxmlformats.org/officeDocument/2006/relationships/hyperlink" Target="https://jessicaisenhower.com/coherence/spreadsheets/coherence_territory_model.xlsx" TargetMode="External"/><Relationship Id="rId14" Type="http://schemas.openxmlformats.org/officeDocument/2006/relationships/hyperlink" Target="https://jessicaisenhower.com/coherence/spreadsheets/coherence_capacity_model.xlsx" TargetMode="External"/><Relationship Id="rId15" Type="http://schemas.openxmlformats.org/officeDocument/2006/relationships/hyperlink" Target="https://jessicaisenhower.com/coherence/spreadsheets/coherence_pipeline_model.xlsx" TargetMode="External"/><Relationship Id="rId16" Type="http://schemas.openxmlformats.org/officeDocument/2006/relationships/hyperlink" Target="https://jessicaisenhower.com/coherence/spreadsheets/coherence_marketing_model.xlsx" TargetMode="External"/><Relationship Id="rId17" Type="http://schemas.openxmlformats.org/officeDocument/2006/relationships/hyperlink" Target="https://jessicaisenhower.com/coherence/spreadsheets/coherence_quota_model.xlsx" TargetMode="External"/><Relationship Id="rId18" Type="http://schemas.openxmlformats.org/officeDocument/2006/relationships/hyperlink" Target="https://jessicaisenhower.com/coherence/spreadsheets/coherence_comp_model.xlsx" TargetMode="External"/><Relationship Id="rId19" Type="http://schemas.openxmlformats.org/officeDocument/2006/relationships/hyperlink" Target="https://jessicaisenhower.com/coherence/spreadsheets/coherence_forecast_model.xlsx" TargetMode="External"/><Relationship Id="rId20" Type="http://schemas.openxmlformats.org/officeDocument/2006/relationships/hyperlink" Target="https://jessicaisenhower.com/coherence/spreadsheets/coherence_executive_model.xlsx" TargetMode="External"/><Relationship Id="rId21" Type="http://schemas.openxmlformats.org/officeDocument/2006/relationships/hyperlink" Target="https://worldatwork.org/publications/workspan-daily/6-keys-to-help-you-design-sales-comp-plans-like-a-pro" TargetMode="External"/><Relationship Id="rId22" Type="http://schemas.openxmlformats.org/officeDocument/2006/relationships/hyperlink" Target="https://worldatwork.org/publications/workspan-daily/sales-comp-considerations-choosing-between-individual-team-measures" TargetMode="External"/><Relationship Id="rId23" Type="http://schemas.openxmlformats.org/officeDocument/2006/relationships/hyperlink" Target="https://worldatwork.org/publications/workspan-daily/the-power-of-pay-for-performance-sales-compensation-plans" TargetMode="External"/><Relationship Id="rId24" Type="http://schemas.openxmlformats.org/officeDocument/2006/relationships/hyperlink" Target="https://www.alexandergroup.com/insights/sales-compensation-careful-about-that-threshold/" TargetMode="External"/><Relationship Id="rId25" Type="http://schemas.openxmlformats.org/officeDocument/2006/relationships/hyperlink" Target="https://www.alexandergroup.com/insights/create-design-goalposts-to-manage-sales-compensation-plan-consistency/" TargetMode="External"/><Relationship Id="rId26" Type="http://schemas.openxmlformats.org/officeDocument/2006/relationships/hyperlink" Target="https://www.alexandergroup.com/insights/sales-compensation-linked-formula-design/" TargetMode="External"/><Relationship Id="rId27" Type="http://schemas.openxmlformats.org/officeDocument/2006/relationships/hyperlink" Target="https://www.captivateiq.com/blog/enterprise-sales-incentive-plan" TargetMode="External"/><Relationship Id="rId28" Type="http://schemas.openxmlformats.org/officeDocument/2006/relationships/hyperlink" Target="https://www.quotapath.com/blog/motivational-accelerator-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Coherence Annual Revenue Planning Guide</dc:title>
  <dc:subject>Connected annual planning milestones, tools, best practices, and compensation design assessment</dc:subject>
  <dc:creator>Coherence</dc:creator>
  <cp:keywords/>
  <dc:description>generated by python-docx</dc:description>
  <cp:lastModifiedBy/>
  <cp:revision>1</cp:revision>
  <dcterms:created xsi:type="dcterms:W3CDTF">2013-12-23T23:15:00Z</dcterms:created>
  <dcterms:modified xsi:type="dcterms:W3CDTF">2013-12-23T23:15:00Z</dcterms:modified>
  <cp:category/>
</cp:coreProperties>
</file>